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08" w:rsidRDefault="00991A08" w:rsidP="00556798">
      <w:pPr>
        <w:jc w:val="center"/>
      </w:pPr>
    </w:p>
    <w:p w:rsidR="00EE125E" w:rsidRDefault="00EE125E" w:rsidP="00556798">
      <w:pPr>
        <w:jc w:val="center"/>
      </w:pPr>
    </w:p>
    <w:p w:rsidR="00EE125E" w:rsidRPr="0094209D" w:rsidRDefault="00EE125E" w:rsidP="00556798">
      <w:pPr>
        <w:jc w:val="center"/>
      </w:pPr>
    </w:p>
    <w:p w:rsidR="00991A08" w:rsidRPr="0094209D" w:rsidRDefault="001F5003" w:rsidP="00556798">
      <w:pPr>
        <w:jc w:val="center"/>
      </w:pPr>
      <w:r w:rsidRPr="0094209D">
        <w:t>DEUXIÈME SECTION</w:t>
      </w:r>
    </w:p>
    <w:p w:rsidR="00991A08" w:rsidRDefault="00991A08" w:rsidP="00556798">
      <w:pPr>
        <w:jc w:val="center"/>
      </w:pPr>
    </w:p>
    <w:p w:rsidR="00EE125E" w:rsidRDefault="00EE125E" w:rsidP="00556798">
      <w:pPr>
        <w:jc w:val="center"/>
      </w:pPr>
    </w:p>
    <w:p w:rsidR="00EE125E" w:rsidRDefault="00EE125E" w:rsidP="00556798">
      <w:pPr>
        <w:jc w:val="center"/>
      </w:pPr>
    </w:p>
    <w:p w:rsidR="00EE125E" w:rsidRDefault="00EE125E" w:rsidP="00556798">
      <w:pPr>
        <w:jc w:val="center"/>
      </w:pPr>
    </w:p>
    <w:p w:rsidR="00EE125E" w:rsidRDefault="00EE125E" w:rsidP="00556798">
      <w:pPr>
        <w:jc w:val="center"/>
      </w:pPr>
    </w:p>
    <w:p w:rsidR="00EE125E" w:rsidRPr="0094209D" w:rsidRDefault="00EE125E" w:rsidP="00556798">
      <w:pPr>
        <w:jc w:val="center"/>
      </w:pPr>
    </w:p>
    <w:p w:rsidR="00991A08" w:rsidRPr="0094209D" w:rsidRDefault="00991A08" w:rsidP="00556798">
      <w:pPr>
        <w:jc w:val="center"/>
        <w:rPr>
          <w:b/>
        </w:rPr>
      </w:pPr>
      <w:bookmarkStart w:id="0" w:name="To"/>
      <w:r w:rsidRPr="0094209D">
        <w:rPr>
          <w:b/>
        </w:rPr>
        <w:t xml:space="preserve">AFFAIRE </w:t>
      </w:r>
      <w:bookmarkEnd w:id="0"/>
      <w:r w:rsidR="001F5003" w:rsidRPr="0094209D">
        <w:rPr>
          <w:b/>
        </w:rPr>
        <w:t>ZUCCHINALI</w:t>
      </w:r>
      <w:r w:rsidR="00316836" w:rsidRPr="0094209D">
        <w:rPr>
          <w:b/>
        </w:rPr>
        <w:t xml:space="preserve"> ET AUTRES</w:t>
      </w:r>
      <w:r w:rsidR="001F5003" w:rsidRPr="0094209D">
        <w:rPr>
          <w:b/>
        </w:rPr>
        <w:t xml:space="preserve"> c. ITALIE</w:t>
      </w:r>
    </w:p>
    <w:p w:rsidR="00991A08" w:rsidRPr="0094209D" w:rsidRDefault="00991A08" w:rsidP="00556798">
      <w:pPr>
        <w:jc w:val="center"/>
      </w:pPr>
    </w:p>
    <w:p w:rsidR="00EE125E" w:rsidRDefault="00991A08" w:rsidP="00CE3E20">
      <w:pPr>
        <w:jc w:val="center"/>
        <w:rPr>
          <w:szCs w:val="24"/>
        </w:rPr>
      </w:pPr>
      <w:r w:rsidRPr="0094209D">
        <w:t>(</w:t>
      </w:r>
      <w:r w:rsidR="001F5003" w:rsidRPr="0094209D">
        <w:rPr>
          <w:i/>
        </w:rPr>
        <w:t>Requêtes n</w:t>
      </w:r>
      <w:r w:rsidR="001F5003" w:rsidRPr="0094209D">
        <w:rPr>
          <w:i/>
          <w:vertAlign w:val="superscript"/>
        </w:rPr>
        <w:t>os</w:t>
      </w:r>
      <w:r w:rsidR="00316836" w:rsidRPr="0094209D">
        <w:rPr>
          <w:i/>
        </w:rPr>
        <w:t xml:space="preserve"> 17760/03, 17761/03, 19903/03, 19905/03, 19908/03, 19911/03, 19915/03 et 20114/03</w:t>
      </w:r>
      <w:r w:rsidRPr="0094209D">
        <w:rPr>
          <w:i/>
        </w:rPr>
        <w:t>)</w:t>
      </w: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EE125E" w:rsidRDefault="00EE125E" w:rsidP="00CE3E20">
      <w:pPr>
        <w:jc w:val="center"/>
        <w:rPr>
          <w:szCs w:val="24"/>
          <w:u w:val="single"/>
        </w:rPr>
      </w:pPr>
    </w:p>
    <w:p w:rsidR="00CC171C" w:rsidRPr="0094209D" w:rsidRDefault="00EE125E" w:rsidP="000C19B8">
      <w:pPr>
        <w:jc w:val="center"/>
        <w:rPr>
          <w:szCs w:val="24"/>
        </w:rPr>
      </w:pPr>
      <w:r>
        <w:rPr>
          <w:szCs w:val="24"/>
        </w:rPr>
        <w:t>ARRÊT</w:t>
      </w:r>
    </w:p>
    <w:p w:rsidR="00EE125E" w:rsidRDefault="00EE125E" w:rsidP="00F2522E">
      <w:pPr>
        <w:pStyle w:val="ECHRPara"/>
        <w:ind w:firstLine="0"/>
        <w:jc w:val="center"/>
      </w:pPr>
    </w:p>
    <w:p w:rsidR="00EE125E" w:rsidRDefault="00EE125E" w:rsidP="00F2522E">
      <w:pPr>
        <w:pStyle w:val="ECHRPara"/>
        <w:ind w:firstLine="0"/>
        <w:jc w:val="center"/>
      </w:pPr>
    </w:p>
    <w:p w:rsidR="00EE125E" w:rsidRDefault="00EE125E" w:rsidP="00F2522E">
      <w:pPr>
        <w:pStyle w:val="ECHRPara"/>
        <w:ind w:firstLine="0"/>
        <w:jc w:val="center"/>
      </w:pPr>
    </w:p>
    <w:p w:rsidR="00EE125E" w:rsidRDefault="00EE125E" w:rsidP="00F2522E">
      <w:pPr>
        <w:pStyle w:val="ECHRPara"/>
        <w:ind w:firstLine="0"/>
        <w:jc w:val="center"/>
      </w:pPr>
      <w:r>
        <w:t>STRASBOURG</w:t>
      </w:r>
    </w:p>
    <w:p w:rsidR="00EE125E" w:rsidRDefault="00EE125E" w:rsidP="00F2522E">
      <w:pPr>
        <w:pStyle w:val="ECHRPara"/>
        <w:ind w:firstLine="0"/>
        <w:jc w:val="center"/>
      </w:pPr>
    </w:p>
    <w:p w:rsidR="00EE125E" w:rsidRDefault="00F2522E" w:rsidP="00F2522E">
      <w:pPr>
        <w:pStyle w:val="ECHRPara"/>
        <w:ind w:firstLine="0"/>
        <w:jc w:val="center"/>
      </w:pPr>
      <w:r>
        <w:t>21 octobre 2014</w:t>
      </w:r>
    </w:p>
    <w:p w:rsidR="00EE125E" w:rsidRDefault="00EE125E" w:rsidP="00F2522E">
      <w:pPr>
        <w:pStyle w:val="ECHRPara"/>
        <w:ind w:firstLine="0"/>
        <w:jc w:val="center"/>
      </w:pPr>
    </w:p>
    <w:p w:rsidR="00EE125E" w:rsidRDefault="00EE125E" w:rsidP="00F2522E">
      <w:pPr>
        <w:pStyle w:val="ECHRPara"/>
        <w:ind w:firstLine="0"/>
        <w:jc w:val="center"/>
      </w:pPr>
    </w:p>
    <w:p w:rsidR="00041F0C" w:rsidRDefault="00041F0C" w:rsidP="00F2522E">
      <w:pPr>
        <w:pStyle w:val="ECHRPara"/>
        <w:ind w:firstLine="0"/>
        <w:jc w:val="center"/>
      </w:pPr>
    </w:p>
    <w:p w:rsidR="00F2522E" w:rsidRPr="009A5CE4" w:rsidRDefault="00EE125E" w:rsidP="009A5CE4">
      <w:pPr>
        <w:pStyle w:val="ECHRPara"/>
        <w:ind w:firstLine="0"/>
        <w:jc w:val="center"/>
        <w:rPr>
          <w:i/>
          <w:sz w:val="22"/>
        </w:rPr>
        <w:sectPr w:rsidR="00F2522E" w:rsidRPr="009A5CE4" w:rsidSect="00E97CEC">
          <w:head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titlePg/>
          <w:docGrid w:linePitch="326"/>
        </w:sectPr>
      </w:pPr>
      <w:r>
        <w:rPr>
          <w:i/>
          <w:sz w:val="22"/>
        </w:rPr>
        <w:t>Cet arrêt est définitif. Il pe</w:t>
      </w:r>
      <w:r w:rsidR="009A5CE4">
        <w:rPr>
          <w:i/>
          <w:sz w:val="22"/>
        </w:rPr>
        <w:t>ut subir des retouches de forme</w:t>
      </w:r>
    </w:p>
    <w:p w:rsidR="00991A08" w:rsidRPr="00A96A86" w:rsidRDefault="00991A08" w:rsidP="00556798">
      <w:pPr>
        <w:pStyle w:val="JuCase"/>
        <w:rPr>
          <w:lang w:val="fr-FR"/>
        </w:rPr>
      </w:pPr>
      <w:r w:rsidRPr="00A96A86">
        <w:rPr>
          <w:lang w:val="fr-FR"/>
        </w:rPr>
        <w:t>En l</w:t>
      </w:r>
      <w:r w:rsidR="00202D50">
        <w:rPr>
          <w:lang w:val="fr-FR"/>
        </w:rPr>
        <w:t>’</w:t>
      </w:r>
      <w:r w:rsidRPr="00A96A86">
        <w:rPr>
          <w:lang w:val="fr-FR"/>
        </w:rPr>
        <w:t xml:space="preserve">affaire </w:t>
      </w:r>
      <w:r w:rsidR="001F5003" w:rsidRPr="00A96A86">
        <w:rPr>
          <w:lang w:val="fr-FR"/>
        </w:rPr>
        <w:t>Zucchinali</w:t>
      </w:r>
      <w:r w:rsidR="003F7F0D" w:rsidRPr="00A96A86">
        <w:rPr>
          <w:lang w:val="fr-FR"/>
        </w:rPr>
        <w:t xml:space="preserve"> et autres</w:t>
      </w:r>
      <w:r w:rsidR="001F5003" w:rsidRPr="00A96A86">
        <w:rPr>
          <w:lang w:val="fr-FR"/>
        </w:rPr>
        <w:t xml:space="preserve"> c. Italie</w:t>
      </w:r>
      <w:r w:rsidRPr="00A96A86">
        <w:rPr>
          <w:lang w:val="fr-FR"/>
        </w:rPr>
        <w:t>,</w:t>
      </w:r>
    </w:p>
    <w:p w:rsidR="00747FAF" w:rsidRPr="00A96A86" w:rsidRDefault="00991A08" w:rsidP="00747FAF">
      <w:pPr>
        <w:pStyle w:val="ECHRPara"/>
        <w:rPr>
          <w:lang w:val="fr-FR"/>
        </w:rPr>
      </w:pPr>
      <w:r w:rsidRPr="00A96A86">
        <w:rPr>
          <w:lang w:val="fr-FR"/>
        </w:rPr>
        <w:t xml:space="preserve">La Cour européenne des </w:t>
      </w:r>
      <w:r w:rsidR="00C2086A" w:rsidRPr="00A96A86">
        <w:rPr>
          <w:lang w:val="fr-FR"/>
        </w:rPr>
        <w:t>d</w:t>
      </w:r>
      <w:r w:rsidRPr="00A96A86">
        <w:rPr>
          <w:lang w:val="fr-FR"/>
        </w:rPr>
        <w:t>roits de l</w:t>
      </w:r>
      <w:r w:rsidR="00202D50">
        <w:rPr>
          <w:lang w:val="fr-FR"/>
        </w:rPr>
        <w:t>’</w:t>
      </w:r>
      <w:r w:rsidR="00C2086A" w:rsidRPr="00A96A86">
        <w:rPr>
          <w:lang w:val="fr-FR"/>
        </w:rPr>
        <w:t>h</w:t>
      </w:r>
      <w:r w:rsidRPr="00A96A86">
        <w:rPr>
          <w:lang w:val="fr-FR"/>
        </w:rPr>
        <w:t>omme</w:t>
      </w:r>
      <w:r w:rsidR="00967B97" w:rsidRPr="00A96A86">
        <w:rPr>
          <w:lang w:val="fr-FR"/>
        </w:rPr>
        <w:t xml:space="preserve"> (</w:t>
      </w:r>
      <w:r w:rsidR="001F5003" w:rsidRPr="00A96A86">
        <w:rPr>
          <w:lang w:val="fr-FR"/>
        </w:rPr>
        <w:t>deuxième section</w:t>
      </w:r>
      <w:r w:rsidR="00967B97" w:rsidRPr="00A96A86">
        <w:rPr>
          <w:lang w:val="fr-FR"/>
        </w:rPr>
        <w:t>)</w:t>
      </w:r>
      <w:r w:rsidRPr="00A96A86">
        <w:rPr>
          <w:lang w:val="fr-FR"/>
        </w:rPr>
        <w:t xml:space="preserve">, siégeant </w:t>
      </w:r>
      <w:r w:rsidR="00FF0DD4" w:rsidRPr="00A96A86">
        <w:rPr>
          <w:lang w:val="fr-FR"/>
        </w:rPr>
        <w:t xml:space="preserve">en </w:t>
      </w:r>
      <w:r w:rsidR="001F5003" w:rsidRPr="00A96A86">
        <w:rPr>
          <w:lang w:val="fr-FR"/>
        </w:rPr>
        <w:t>un Comité composé</w:t>
      </w:r>
      <w:r w:rsidRPr="00A96A86">
        <w:rPr>
          <w:lang w:val="fr-FR"/>
        </w:rPr>
        <w:t xml:space="preserve"> </w:t>
      </w:r>
      <w:r w:rsidR="00747FAF" w:rsidRPr="00A96A86">
        <w:rPr>
          <w:lang w:val="fr-FR"/>
        </w:rPr>
        <w:t>de :</w:t>
      </w:r>
    </w:p>
    <w:p w:rsidR="00D33DB9" w:rsidRPr="0094209D" w:rsidRDefault="00017E56" w:rsidP="009A5CE4">
      <w:pPr>
        <w:pStyle w:val="ECHRDecisionBody"/>
      </w:pPr>
      <w:r w:rsidRPr="00A96A86">
        <w:rPr>
          <w:lang w:val="fr-FR"/>
        </w:rPr>
        <w:tab/>
      </w:r>
      <w:r w:rsidRPr="00017E56">
        <w:t>Nebojša</w:t>
      </w:r>
      <w:r>
        <w:t xml:space="preserve"> </w:t>
      </w:r>
      <w:r w:rsidRPr="00017E56">
        <w:t>Vučinić</w:t>
      </w:r>
      <w:r>
        <w:t>,</w:t>
      </w:r>
      <w:r w:rsidRPr="00017E56">
        <w:rPr>
          <w:i/>
        </w:rPr>
        <w:t xml:space="preserve"> président,</w:t>
      </w:r>
      <w:r>
        <w:rPr>
          <w:i/>
        </w:rPr>
        <w:br/>
      </w:r>
      <w:r w:rsidRPr="00017E56">
        <w:tab/>
        <w:t>Paul</w:t>
      </w:r>
      <w:r>
        <w:t xml:space="preserve"> </w:t>
      </w:r>
      <w:r w:rsidRPr="00017E56">
        <w:t>Lemmens</w:t>
      </w:r>
      <w:r>
        <w:t>,</w:t>
      </w:r>
      <w:r>
        <w:rPr>
          <w:i/>
        </w:rPr>
        <w:br/>
      </w:r>
      <w:r w:rsidRPr="00017E56">
        <w:tab/>
        <w:t>Egidijus</w:t>
      </w:r>
      <w:r>
        <w:t xml:space="preserve"> </w:t>
      </w:r>
      <w:r w:rsidRPr="00017E56">
        <w:t>Kūris</w:t>
      </w:r>
      <w:r>
        <w:t>,</w:t>
      </w:r>
      <w:r w:rsidRPr="00017E56">
        <w:rPr>
          <w:i/>
        </w:rPr>
        <w:t xml:space="preserve"> juges,</w:t>
      </w:r>
      <w:r w:rsidR="00D33DB9" w:rsidRPr="0094209D">
        <w:br/>
        <w:t>et de</w:t>
      </w:r>
      <w:r w:rsidR="006C766E" w:rsidRPr="0094209D">
        <w:t xml:space="preserve"> </w:t>
      </w:r>
      <w:r w:rsidR="004D354A" w:rsidRPr="0094209D">
        <w:t>A</w:t>
      </w:r>
      <w:r w:rsidR="00261A02" w:rsidRPr="0094209D">
        <w:t xml:space="preserve">bel </w:t>
      </w:r>
      <w:r w:rsidR="004D354A" w:rsidRPr="0094209D">
        <w:t>Campos</w:t>
      </w:r>
      <w:r w:rsidR="0083543B" w:rsidRPr="0094209D">
        <w:t xml:space="preserve">, </w:t>
      </w:r>
      <w:r w:rsidR="00777A8E" w:rsidRPr="0094209D">
        <w:rPr>
          <w:i/>
        </w:rPr>
        <w:t>greffier</w:t>
      </w:r>
      <w:r w:rsidR="001F5003" w:rsidRPr="0094209D">
        <w:rPr>
          <w:i/>
        </w:rPr>
        <w:t xml:space="preserve"> adjoint</w:t>
      </w:r>
      <w:r w:rsidR="001F5003" w:rsidRPr="0094209D">
        <w:rPr>
          <w:iCs/>
        </w:rPr>
        <w:t xml:space="preserve"> </w:t>
      </w:r>
      <w:r w:rsidR="001F5003" w:rsidRPr="0094209D">
        <w:rPr>
          <w:i/>
          <w:iCs/>
        </w:rPr>
        <w:t>d</w:t>
      </w:r>
      <w:r w:rsidR="001F5003" w:rsidRPr="0094209D">
        <w:rPr>
          <w:i/>
        </w:rPr>
        <w:t>e section</w:t>
      </w:r>
      <w:r w:rsidR="003C5B75" w:rsidRPr="0094209D">
        <w:rPr>
          <w:i/>
        </w:rPr>
        <w:t>,</w:t>
      </w:r>
    </w:p>
    <w:p w:rsidR="00991A08" w:rsidRPr="0094209D" w:rsidRDefault="00991A08" w:rsidP="00203660">
      <w:pPr>
        <w:pStyle w:val="ECHRPara"/>
      </w:pPr>
      <w:r w:rsidRPr="0094209D">
        <w:t>Après en avoir délibéré en chambre du conseil le</w:t>
      </w:r>
      <w:r w:rsidR="00017E56">
        <w:t xml:space="preserve"> 30 septembre 2014</w:t>
      </w:r>
      <w:r w:rsidRPr="0094209D">
        <w:t>,</w:t>
      </w:r>
    </w:p>
    <w:p w:rsidR="00991A08" w:rsidRPr="00A96A86" w:rsidRDefault="00991A08" w:rsidP="00203660">
      <w:pPr>
        <w:pStyle w:val="ECHRPara"/>
        <w:rPr>
          <w:lang w:val="fr-FR"/>
        </w:rPr>
      </w:pPr>
      <w:r w:rsidRPr="00A96A86">
        <w:rPr>
          <w:lang w:val="fr-FR"/>
        </w:rPr>
        <w:t>Rend l</w:t>
      </w:r>
      <w:r w:rsidR="00202D50">
        <w:rPr>
          <w:lang w:val="fr-FR"/>
        </w:rPr>
        <w:t>’</w:t>
      </w:r>
      <w:r w:rsidRPr="00A96A86">
        <w:rPr>
          <w:lang w:val="fr-FR"/>
        </w:rPr>
        <w:t>arrêt que voici, adopté à cette date :</w:t>
      </w:r>
    </w:p>
    <w:p w:rsidR="00991A08" w:rsidRPr="0094209D" w:rsidRDefault="00991A08" w:rsidP="002F6423">
      <w:pPr>
        <w:pStyle w:val="ECHRTitle1"/>
      </w:pPr>
      <w:r w:rsidRPr="0094209D">
        <w:t>PROCÉDURE</w:t>
      </w:r>
    </w:p>
    <w:p w:rsidR="00037E2A" w:rsidRPr="00A96A86" w:rsidRDefault="00E86D85" w:rsidP="00E91DF5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037E2A" w:rsidRPr="0094209D">
        <w:t>.  </w:t>
      </w:r>
      <w:r w:rsidR="006C766E" w:rsidRPr="00A96A86">
        <w:rPr>
          <w:lang w:val="fr-FR"/>
        </w:rPr>
        <w:t>À</w:t>
      </w:r>
      <w:r w:rsidR="00037E2A" w:rsidRPr="00A96A86">
        <w:rPr>
          <w:lang w:val="fr-FR"/>
        </w:rPr>
        <w:t xml:space="preserve"> l</w:t>
      </w:r>
      <w:r w:rsidR="00202D50">
        <w:rPr>
          <w:lang w:val="fr-FR"/>
        </w:rPr>
        <w:t>’</w:t>
      </w:r>
      <w:r w:rsidR="00037E2A" w:rsidRPr="00A96A86">
        <w:rPr>
          <w:lang w:val="fr-FR"/>
        </w:rPr>
        <w:t>origine de l</w:t>
      </w:r>
      <w:r w:rsidR="00202D50">
        <w:rPr>
          <w:lang w:val="fr-FR"/>
        </w:rPr>
        <w:t>’</w:t>
      </w:r>
      <w:r w:rsidR="00037E2A" w:rsidRPr="00A96A86">
        <w:rPr>
          <w:lang w:val="fr-FR"/>
        </w:rPr>
        <w:t xml:space="preserve">affaire </w:t>
      </w:r>
      <w:r w:rsidR="001F5003" w:rsidRPr="00A96A86">
        <w:rPr>
          <w:lang w:val="fr-FR"/>
        </w:rPr>
        <w:t xml:space="preserve">se trouvent </w:t>
      </w:r>
      <w:r w:rsidR="002F039B" w:rsidRPr="00A96A86">
        <w:rPr>
          <w:lang w:val="fr-FR"/>
        </w:rPr>
        <w:t>huit</w:t>
      </w:r>
      <w:r w:rsidR="001F5003" w:rsidRPr="00A96A86">
        <w:rPr>
          <w:lang w:val="fr-FR"/>
        </w:rPr>
        <w:t xml:space="preserve"> requêtes (n</w:t>
      </w:r>
      <w:r w:rsidR="001F5003" w:rsidRPr="00A96A86">
        <w:rPr>
          <w:vertAlign w:val="superscript"/>
          <w:lang w:val="fr-FR"/>
        </w:rPr>
        <w:t>os</w:t>
      </w:r>
      <w:r w:rsidR="00F9090B" w:rsidRPr="00A96A86">
        <w:rPr>
          <w:vertAlign w:val="superscript"/>
          <w:lang w:val="fr-FR"/>
        </w:rPr>
        <w:t> </w:t>
      </w:r>
      <w:r w:rsidR="006C766E" w:rsidRPr="00A96A86">
        <w:rPr>
          <w:lang w:val="fr-FR"/>
        </w:rPr>
        <w:t xml:space="preserve">17760/03, </w:t>
      </w:r>
      <w:r w:rsidR="002F039B" w:rsidRPr="00A96A86">
        <w:rPr>
          <w:lang w:val="fr-FR"/>
        </w:rPr>
        <w:t>17761/03, 19903/03, 19905/03, 19908/03, 19911/03, 19915/03 et 20114/03</w:t>
      </w:r>
      <w:r w:rsidR="001F5003" w:rsidRPr="00A96A86">
        <w:rPr>
          <w:lang w:val="fr-FR"/>
        </w:rPr>
        <w:t>) dirigées</w:t>
      </w:r>
      <w:r w:rsidR="00037E2A" w:rsidRPr="00A96A86">
        <w:rPr>
          <w:lang w:val="fr-FR"/>
        </w:rPr>
        <w:t xml:space="preserve"> contre </w:t>
      </w:r>
      <w:r w:rsidR="001F5003" w:rsidRPr="00A96A86">
        <w:rPr>
          <w:lang w:val="fr-FR"/>
        </w:rPr>
        <w:t>la République italienne</w:t>
      </w:r>
      <w:r w:rsidR="00037E2A" w:rsidRPr="00A96A86">
        <w:rPr>
          <w:lang w:val="fr-FR"/>
        </w:rPr>
        <w:t xml:space="preserve"> et dont </w:t>
      </w:r>
      <w:r w:rsidR="002F039B" w:rsidRPr="00A96A86">
        <w:rPr>
          <w:lang w:val="fr-FR"/>
        </w:rPr>
        <w:t>huit</w:t>
      </w:r>
      <w:r w:rsidR="001F5003" w:rsidRPr="00A96A86">
        <w:rPr>
          <w:lang w:val="fr-FR"/>
        </w:rPr>
        <w:t xml:space="preserve"> ressortissants de cet </w:t>
      </w:r>
      <w:r w:rsidR="00394C18" w:rsidRPr="00A96A86">
        <w:rPr>
          <w:lang w:val="fr-FR"/>
        </w:rPr>
        <w:t>État</w:t>
      </w:r>
      <w:r w:rsidR="001F5003" w:rsidRPr="00A96A86">
        <w:rPr>
          <w:lang w:val="fr-FR"/>
        </w:rPr>
        <w:t xml:space="preserve"> </w:t>
      </w:r>
      <w:r w:rsidR="002F039B" w:rsidRPr="00A96A86">
        <w:rPr>
          <w:lang w:val="fr-FR"/>
        </w:rPr>
        <w:t>(« les requérants », voir tableau en annexe)</w:t>
      </w:r>
      <w:r w:rsidR="002F039B" w:rsidRPr="00A96A86">
        <w:rPr>
          <w:noProof/>
          <w:lang w:val="fr-FR"/>
        </w:rPr>
        <w:t xml:space="preserve">, </w:t>
      </w:r>
      <w:bookmarkStart w:id="1" w:name="OLE_LINK5"/>
      <w:bookmarkStart w:id="2" w:name="OLE_LINK6"/>
      <w:r w:rsidR="002F039B" w:rsidRPr="00A96A86">
        <w:rPr>
          <w:noProof/>
          <w:lang w:val="fr-FR"/>
        </w:rPr>
        <w:t xml:space="preserve">ont saisi la Cour </w:t>
      </w:r>
      <w:r w:rsidR="002F039B" w:rsidRPr="00A96A86">
        <w:rPr>
          <w:lang w:val="fr-FR"/>
        </w:rPr>
        <w:t>en vertu de l</w:t>
      </w:r>
      <w:r w:rsidR="00202D50">
        <w:rPr>
          <w:lang w:val="fr-FR"/>
        </w:rPr>
        <w:t>’</w:t>
      </w:r>
      <w:r w:rsidR="002F039B" w:rsidRPr="00A96A86">
        <w:rPr>
          <w:lang w:val="fr-FR"/>
        </w:rPr>
        <w:t xml:space="preserve">article </w:t>
      </w:r>
      <w:r w:rsidR="002F039B" w:rsidRPr="00A96A86">
        <w:rPr>
          <w:noProof/>
          <w:lang w:val="fr-FR"/>
        </w:rPr>
        <w:t>34</w:t>
      </w:r>
      <w:r w:rsidR="002F039B" w:rsidRPr="00A96A86">
        <w:rPr>
          <w:lang w:val="fr-FR"/>
        </w:rPr>
        <w:t xml:space="preserve"> de la Convention de sauvegarde des droits de l</w:t>
      </w:r>
      <w:r w:rsidR="00202D50">
        <w:rPr>
          <w:lang w:val="fr-FR"/>
        </w:rPr>
        <w:t>’</w:t>
      </w:r>
      <w:r w:rsidR="002F039B" w:rsidRPr="00A96A86">
        <w:rPr>
          <w:lang w:val="fr-FR"/>
        </w:rPr>
        <w:t>homme et des libertés fondamentales (« la Convention »).</w:t>
      </w:r>
      <w:bookmarkEnd w:id="1"/>
      <w:bookmarkEnd w:id="2"/>
    </w:p>
    <w:p w:rsidR="00A96A86" w:rsidRDefault="00E86D85" w:rsidP="00BF50A3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="00037E2A" w:rsidRPr="0094209D">
        <w:t>.  </w:t>
      </w:r>
      <w:r w:rsidR="001F5003" w:rsidRPr="0094209D">
        <w:t>Les requérants ont été représentés par M</w:t>
      </w:r>
      <w:r w:rsidR="001F5003" w:rsidRPr="0094209D">
        <w:rPr>
          <w:vertAlign w:val="superscript"/>
        </w:rPr>
        <w:t>e</w:t>
      </w:r>
      <w:r w:rsidR="001F5003" w:rsidRPr="0094209D">
        <w:t xml:space="preserve"> G. Buonanno, avocat à Bergame. </w:t>
      </w:r>
      <w:r w:rsidR="00037E2A" w:rsidRPr="0094209D">
        <w:t xml:space="preserve">Le gouvernement </w:t>
      </w:r>
      <w:r w:rsidR="001F5003" w:rsidRPr="0094209D">
        <w:t>italien</w:t>
      </w:r>
      <w:r w:rsidR="00037E2A" w:rsidRPr="0094209D">
        <w:t xml:space="preserve"> (« le Gouvernement ») </w:t>
      </w:r>
      <w:r w:rsidR="00ED3FEB" w:rsidRPr="0094209D">
        <w:t>a été</w:t>
      </w:r>
      <w:r w:rsidR="00037E2A" w:rsidRPr="0094209D">
        <w:t xml:space="preserve"> représenté par </w:t>
      </w:r>
      <w:r w:rsidR="002F039B" w:rsidRPr="0094209D">
        <w:rPr>
          <w:color w:val="000000"/>
        </w:rPr>
        <w:t>son ancien agent, M. I.M. Braguglia, et son ancien coagent, M. N. Lettieri</w:t>
      </w:r>
      <w:r w:rsidR="00A07412" w:rsidRPr="0094209D">
        <w:t>.</w:t>
      </w:r>
    </w:p>
    <w:p w:rsidR="00F63EE8" w:rsidRPr="0094209D" w:rsidRDefault="00E86D85" w:rsidP="00E91DF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="00037E2A" w:rsidRPr="0094209D">
        <w:t>.  </w:t>
      </w:r>
      <w:r w:rsidR="002F039B" w:rsidRPr="0094209D">
        <w:t>En</w:t>
      </w:r>
      <w:r w:rsidR="001F5003" w:rsidRPr="0094209D">
        <w:t xml:space="preserve"> juin 2006</w:t>
      </w:r>
      <w:r w:rsidR="00037E2A" w:rsidRPr="0094209D">
        <w:t xml:space="preserve">, </w:t>
      </w:r>
      <w:r w:rsidR="001F5003" w:rsidRPr="0094209D">
        <w:t>les requêtes ont</w:t>
      </w:r>
      <w:r w:rsidR="00D86B22" w:rsidRPr="0094209D">
        <w:t xml:space="preserve"> été </w:t>
      </w:r>
      <w:r w:rsidR="001F5003" w:rsidRPr="0094209D">
        <w:t>communiquées</w:t>
      </w:r>
      <w:r w:rsidR="00037E2A" w:rsidRPr="0094209D">
        <w:t xml:space="preserve"> au Gouvernement.</w:t>
      </w:r>
      <w:r w:rsidR="002F039B" w:rsidRPr="0094209D">
        <w:rPr>
          <w:color w:val="000000"/>
          <w:szCs w:val="24"/>
          <w:lang w:eastAsia="en-GB"/>
        </w:rPr>
        <w:t xml:space="preserve"> En application du Protocole n</w:t>
      </w:r>
      <w:r w:rsidR="00EE125E" w:rsidRPr="00EE125E">
        <w:rPr>
          <w:color w:val="000000"/>
          <w:szCs w:val="24"/>
          <w:vertAlign w:val="superscript"/>
          <w:lang w:eastAsia="en-GB"/>
        </w:rPr>
        <w:t>o</w:t>
      </w:r>
      <w:r w:rsidR="002F039B" w:rsidRPr="0094209D">
        <w:rPr>
          <w:color w:val="000000"/>
          <w:szCs w:val="24"/>
          <w:lang w:eastAsia="en-GB"/>
        </w:rPr>
        <w:t xml:space="preserve"> 14, les requêtes ont été attribuées à un Comité.</w:t>
      </w:r>
    </w:p>
    <w:p w:rsidR="00D2115A" w:rsidRPr="0094209D" w:rsidRDefault="00D2115A" w:rsidP="00D2115A">
      <w:pPr>
        <w:pStyle w:val="ECHRTitle1"/>
      </w:pPr>
      <w:r w:rsidRPr="0094209D">
        <w:t>EN FAIT</w:t>
      </w:r>
    </w:p>
    <w:p w:rsidR="00D2115A" w:rsidRPr="0094209D" w:rsidRDefault="006C766E" w:rsidP="00D2115A">
      <w:pPr>
        <w:pStyle w:val="ECHRHeading1"/>
      </w:pPr>
      <w:r w:rsidRPr="0094209D">
        <w:t>I.  </w:t>
      </w:r>
      <w:r w:rsidR="00D2115A" w:rsidRPr="0094209D">
        <w:t>LES CIRCONSTANCES DE L</w:t>
      </w:r>
      <w:r w:rsidR="00202D50">
        <w:t>’</w:t>
      </w:r>
      <w:r w:rsidR="00D2115A" w:rsidRPr="0094209D">
        <w:t>ESPÈCE</w:t>
      </w:r>
    </w:p>
    <w:p w:rsidR="00A96A86" w:rsidRDefault="00D2115A" w:rsidP="00041F0C">
      <w:pPr>
        <w:pStyle w:val="ECHRPara"/>
        <w:rPr>
          <w:color w:val="000000"/>
        </w:rPr>
      </w:pPr>
      <w:r w:rsidRPr="0094209D">
        <w:rPr>
          <w:color w:val="000000"/>
        </w:rPr>
        <w:fldChar w:fldCharType="begin"/>
      </w:r>
      <w:r w:rsidRPr="0094209D">
        <w:rPr>
          <w:color w:val="000000"/>
        </w:rPr>
        <w:instrText xml:space="preserve"> SEQ level0 \*arabic </w:instrText>
      </w:r>
      <w:r w:rsidRPr="0094209D">
        <w:rPr>
          <w:color w:val="000000"/>
        </w:rPr>
        <w:fldChar w:fldCharType="separate"/>
      </w:r>
      <w:r w:rsidR="00E86D85">
        <w:rPr>
          <w:noProof/>
          <w:color w:val="000000"/>
        </w:rPr>
        <w:t>4</w:t>
      </w:r>
      <w:r w:rsidRPr="0094209D">
        <w:rPr>
          <w:color w:val="000000"/>
        </w:rPr>
        <w:fldChar w:fldCharType="end"/>
      </w:r>
      <w:r w:rsidRPr="0094209D">
        <w:rPr>
          <w:color w:val="000000"/>
        </w:rPr>
        <w:t>.  Les requérants, parties à des procédures judiciaires, ont saisi les juridictions compétentes au sens de la loi « Pinto » afin de se plaindre de la durée de ces procédures.</w:t>
      </w:r>
    </w:p>
    <w:p w:rsidR="00D2115A" w:rsidRPr="009A5CE4" w:rsidRDefault="00D2115A" w:rsidP="009A5CE4">
      <w:pPr>
        <w:pStyle w:val="ECHRPara"/>
        <w:rPr>
          <w:color w:val="000000"/>
          <w:lang w:val="fr-FR"/>
        </w:rPr>
      </w:pPr>
      <w:r w:rsidRPr="0094209D">
        <w:rPr>
          <w:color w:val="000000"/>
        </w:rPr>
        <w:fldChar w:fldCharType="begin"/>
      </w:r>
      <w:r w:rsidRPr="0094209D">
        <w:rPr>
          <w:color w:val="000000"/>
        </w:rPr>
        <w:instrText xml:space="preserve"> SEQ level0 \*arabic </w:instrText>
      </w:r>
      <w:r w:rsidRPr="0094209D">
        <w:rPr>
          <w:color w:val="000000"/>
        </w:rPr>
        <w:fldChar w:fldCharType="separate"/>
      </w:r>
      <w:r w:rsidR="00E86D85">
        <w:rPr>
          <w:noProof/>
          <w:color w:val="000000"/>
        </w:rPr>
        <w:t>5</w:t>
      </w:r>
      <w:r w:rsidRPr="0094209D">
        <w:rPr>
          <w:color w:val="000000"/>
        </w:rPr>
        <w:fldChar w:fldCharType="end"/>
      </w:r>
      <w:r w:rsidRPr="0094209D">
        <w:rPr>
          <w:color w:val="000000"/>
        </w:rPr>
        <w:t>.  </w:t>
      </w:r>
      <w:r w:rsidRPr="009A5CE4">
        <w:rPr>
          <w:color w:val="000000"/>
          <w:lang w:val="fr-FR"/>
        </w:rPr>
        <w:t>Les faits essentiels des requêtes ressortent des informations contenues dans le tableau en annexe au présent arrêt.</w:t>
      </w:r>
    </w:p>
    <w:p w:rsidR="00D2115A" w:rsidRPr="0094209D" w:rsidRDefault="00D2115A" w:rsidP="00D2115A">
      <w:pPr>
        <w:pStyle w:val="ECHRHeading1"/>
      </w:pPr>
      <w:r w:rsidRPr="0094209D">
        <w:t>II.  LE DROIT ET LA PRATIQUE INTERNES PERTINENTS</w:t>
      </w:r>
    </w:p>
    <w:p w:rsidR="00D2115A" w:rsidRPr="00A96A86" w:rsidRDefault="00E86D85" w:rsidP="00D2115A">
      <w:pPr>
        <w:pStyle w:val="ECHRPara"/>
        <w:rPr>
          <w:szCs w:val="24"/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="00D2115A" w:rsidRPr="0094209D">
        <w:t>.  </w:t>
      </w:r>
      <w:r w:rsidR="00D2115A" w:rsidRPr="00A96A86">
        <w:rPr>
          <w:lang w:val="fr-FR"/>
        </w:rPr>
        <w:t>Le droit et la pratique internes pertinents figurent dans l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 xml:space="preserve">arrêt </w:t>
      </w:r>
      <w:r w:rsidR="00D2115A" w:rsidRPr="00A96A86">
        <w:rPr>
          <w:i/>
          <w:szCs w:val="24"/>
          <w:lang w:val="fr-FR"/>
        </w:rPr>
        <w:t xml:space="preserve">Cocchiarella c. </w:t>
      </w:r>
      <w:r w:rsidR="00D2115A" w:rsidRPr="00A96A86">
        <w:rPr>
          <w:i/>
          <w:spacing w:val="-2"/>
          <w:szCs w:val="24"/>
          <w:lang w:val="fr-FR"/>
        </w:rPr>
        <w:t>Italie</w:t>
      </w:r>
      <w:r w:rsidR="00D2115A" w:rsidRPr="00A96A86">
        <w:rPr>
          <w:szCs w:val="24"/>
          <w:lang w:val="fr-FR"/>
        </w:rPr>
        <w:t xml:space="preserve"> ([GC], n</w:t>
      </w:r>
      <w:r w:rsidR="00D2115A" w:rsidRPr="00A96A86">
        <w:rPr>
          <w:szCs w:val="24"/>
          <w:vertAlign w:val="superscript"/>
          <w:lang w:val="fr-FR"/>
        </w:rPr>
        <w:t>o</w:t>
      </w:r>
      <w:r w:rsidR="00D2115A" w:rsidRPr="00A96A86">
        <w:rPr>
          <w:szCs w:val="24"/>
          <w:lang w:val="fr-FR"/>
        </w:rPr>
        <w:t xml:space="preserve"> 64886/01, §§ 23-31, CEDH 2006</w:t>
      </w:r>
      <w:r w:rsidR="00D2115A" w:rsidRPr="00A96A86">
        <w:rPr>
          <w:szCs w:val="24"/>
          <w:lang w:val="fr-FR"/>
        </w:rPr>
        <w:noBreakHyphen/>
        <w:t>V)</w:t>
      </w:r>
      <w:r w:rsidR="00D2115A" w:rsidRPr="00A96A86">
        <w:rPr>
          <w:lang w:val="fr-FR"/>
        </w:rPr>
        <w:t>.</w:t>
      </w:r>
    </w:p>
    <w:p w:rsidR="00D2115A" w:rsidRPr="0094209D" w:rsidRDefault="00D2115A" w:rsidP="00D2115A">
      <w:pPr>
        <w:pStyle w:val="ECHRTitle1"/>
      </w:pPr>
      <w:r w:rsidRPr="0094209D">
        <w:t>EN DROIT</w:t>
      </w:r>
    </w:p>
    <w:p w:rsidR="00D2115A" w:rsidRPr="0094209D" w:rsidRDefault="00D2115A" w:rsidP="009A5CE4">
      <w:pPr>
        <w:pStyle w:val="ECHRDecisionBody"/>
        <w:rPr>
          <w:lang w:val="fr-FR"/>
        </w:rPr>
      </w:pPr>
      <w:r w:rsidRPr="0094209D">
        <w:rPr>
          <w:lang w:val="fr-FR"/>
        </w:rPr>
        <w:t xml:space="preserve">I.  SUR LA </w:t>
      </w:r>
      <w:r w:rsidRPr="0094209D">
        <w:rPr>
          <w:bCs/>
          <w:lang w:val="fr-FR"/>
        </w:rPr>
        <w:t>JONCTION</w:t>
      </w:r>
      <w:r w:rsidRPr="0094209D">
        <w:rPr>
          <w:lang w:val="fr-FR"/>
        </w:rPr>
        <w:t xml:space="preserve"> DES REQUÊTES</w:t>
      </w:r>
    </w:p>
    <w:p w:rsidR="00D2115A" w:rsidRPr="00A96A86" w:rsidRDefault="00E86D85" w:rsidP="00D2115A">
      <w:pPr>
        <w:pStyle w:val="ECHRPara"/>
        <w:rPr>
          <w:lang w:val="fr-FR"/>
        </w:rPr>
      </w:pPr>
      <w:r>
        <w:fldChar w:fldCharType="begin"/>
      </w:r>
      <w:r>
        <w:instrText xml:space="preserve"> SEQ leve</w:instrText>
      </w:r>
      <w:r>
        <w:instrText xml:space="preserve">l0 \*arabic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="00D2115A" w:rsidRPr="0094209D">
        <w:t>.  </w:t>
      </w:r>
      <w:r w:rsidR="00D2115A" w:rsidRPr="00A96A86">
        <w:rPr>
          <w:lang w:val="fr-FR"/>
        </w:rPr>
        <w:t>Compte tenu de la similitude des requêtes quant aux faits et au problème de fond qu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>elles posent, la Cour estime nécessaire de les joindre et décide de les examiner conjointement dans un seul arrêt.</w:t>
      </w:r>
    </w:p>
    <w:p w:rsidR="006D1505" w:rsidRPr="0094209D" w:rsidRDefault="006D1505" w:rsidP="006C766E">
      <w:pPr>
        <w:pStyle w:val="ECHRHeading1"/>
        <w:tabs>
          <w:tab w:val="clear" w:pos="357"/>
          <w:tab w:val="left" w:pos="426"/>
        </w:tabs>
        <w:ind w:left="426" w:hanging="426"/>
      </w:pPr>
      <w:r w:rsidRPr="0094209D">
        <w:t>II</w:t>
      </w:r>
      <w:r w:rsidR="00EF6DA3" w:rsidRPr="0094209D">
        <w:t>.</w:t>
      </w:r>
      <w:r w:rsidRPr="0094209D">
        <w:t>  SUR LES VIOLATIONS ALLÉGUÉES DES ARTICLES 6 § 1 ET 1 DU PROTOCOLE N</w:t>
      </w:r>
      <w:r w:rsidR="00EE125E" w:rsidRPr="00EE125E">
        <w:rPr>
          <w:vertAlign w:val="superscript"/>
        </w:rPr>
        <w:t>o</w:t>
      </w:r>
      <w:r w:rsidRPr="0094209D">
        <w:t xml:space="preserve"> 1</w:t>
      </w:r>
    </w:p>
    <w:p w:rsidR="006D1505" w:rsidRPr="00A96A86" w:rsidRDefault="00E86D85" w:rsidP="006D1505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="006D1505" w:rsidRPr="0094209D">
        <w:t>.  </w:t>
      </w:r>
      <w:r w:rsidR="006D1505" w:rsidRPr="00A96A86">
        <w:rPr>
          <w:lang w:val="fr-FR"/>
        </w:rPr>
        <w:t>Invoquant l</w:t>
      </w:r>
      <w:r w:rsidR="00202D50">
        <w:rPr>
          <w:lang w:val="fr-FR"/>
        </w:rPr>
        <w:t>’</w:t>
      </w:r>
      <w:r w:rsidR="006D1505" w:rsidRPr="00A96A86">
        <w:rPr>
          <w:lang w:val="fr-FR"/>
        </w:rPr>
        <w:t>article 6 § 1 de la Convention, les requérants se plaignent de la durée des procédures principales et de l</w:t>
      </w:r>
      <w:r w:rsidR="00202D50">
        <w:rPr>
          <w:lang w:val="fr-FR"/>
        </w:rPr>
        <w:t>’</w:t>
      </w:r>
      <w:r w:rsidR="006D1505" w:rsidRPr="00A96A86">
        <w:rPr>
          <w:lang w:val="fr-FR"/>
        </w:rPr>
        <w:t>insuffisance du redressement obtenu dans le cadre du remède « Pinto ». Sans invoquer aucune disposition, ils se plaignent également du retard dans l</w:t>
      </w:r>
      <w:r w:rsidR="00202D50">
        <w:rPr>
          <w:lang w:val="fr-FR"/>
        </w:rPr>
        <w:t>’</w:t>
      </w:r>
      <w:r w:rsidR="006D1505" w:rsidRPr="00A96A86">
        <w:rPr>
          <w:lang w:val="fr-FR"/>
        </w:rPr>
        <w:t>exécution des décisions « Pinto ».</w:t>
      </w:r>
    </w:p>
    <w:p w:rsidR="006D1505" w:rsidRPr="00A96A86" w:rsidRDefault="00E86D85" w:rsidP="006D1505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 w:rsidR="006D1505" w:rsidRPr="0094209D">
        <w:t>.  </w:t>
      </w:r>
      <w:r w:rsidR="006D1505" w:rsidRPr="00A96A86">
        <w:rPr>
          <w:lang w:val="fr-FR"/>
        </w:rPr>
        <w:t>Le Gouvernement s</w:t>
      </w:r>
      <w:r w:rsidR="00202D50">
        <w:rPr>
          <w:lang w:val="fr-FR"/>
        </w:rPr>
        <w:t>’</w:t>
      </w:r>
      <w:r w:rsidR="006D1505" w:rsidRPr="00A96A86">
        <w:rPr>
          <w:lang w:val="fr-FR"/>
        </w:rPr>
        <w:t>oppose à cette thèse.</w:t>
      </w:r>
    </w:p>
    <w:p w:rsidR="006D1505" w:rsidRPr="009A5CE4" w:rsidRDefault="006D1505" w:rsidP="006D1505">
      <w:pPr>
        <w:pStyle w:val="ECHRPara"/>
        <w:rPr>
          <w:lang w:val="fr-FR"/>
        </w:rPr>
      </w:pPr>
      <w:r w:rsidRPr="0094209D">
        <w:fldChar w:fldCharType="begin"/>
      </w:r>
      <w:r w:rsidRPr="009A5CE4">
        <w:rPr>
          <w:lang w:val="fr-FR"/>
        </w:rPr>
        <w:instrText xml:space="preserve"> SEQ level0 \*arabic </w:instrText>
      </w:r>
      <w:r w:rsidRPr="0094209D">
        <w:fldChar w:fldCharType="separate"/>
      </w:r>
      <w:r w:rsidR="00E86D85">
        <w:rPr>
          <w:noProof/>
          <w:lang w:val="fr-FR"/>
        </w:rPr>
        <w:t>10</w:t>
      </w:r>
      <w:r w:rsidRPr="0094209D">
        <w:fldChar w:fldCharType="end"/>
      </w:r>
      <w:r w:rsidRPr="009A5CE4">
        <w:rPr>
          <w:lang w:val="fr-FR"/>
        </w:rPr>
        <w:t>. </w:t>
      </w:r>
      <w:r w:rsidR="009A5CE4" w:rsidRPr="009A5CE4">
        <w:rPr>
          <w:lang w:val="fr-FR"/>
        </w:rPr>
        <w:t> </w:t>
      </w:r>
      <w:r w:rsidRPr="009A5CE4">
        <w:rPr>
          <w:lang w:val="fr-FR"/>
        </w:rPr>
        <w:t>La Cour estime qu</w:t>
      </w:r>
      <w:r w:rsidR="00202D50">
        <w:rPr>
          <w:lang w:val="fr-FR"/>
        </w:rPr>
        <w:t>’</w:t>
      </w:r>
      <w:r w:rsidRPr="009A5CE4">
        <w:rPr>
          <w:lang w:val="fr-FR"/>
        </w:rPr>
        <w:t xml:space="preserve">il </w:t>
      </w:r>
      <w:r w:rsidRPr="009A5CE4">
        <w:rPr>
          <w:bCs/>
          <w:lang w:val="fr-FR"/>
        </w:rPr>
        <w:t>convient</w:t>
      </w:r>
      <w:r w:rsidRPr="009A5CE4">
        <w:rPr>
          <w:lang w:val="fr-FR"/>
        </w:rPr>
        <w:t xml:space="preserve"> d</w:t>
      </w:r>
      <w:r w:rsidR="00202D50">
        <w:rPr>
          <w:lang w:val="fr-FR"/>
        </w:rPr>
        <w:t>’</w:t>
      </w:r>
      <w:r w:rsidRPr="009A5CE4">
        <w:rPr>
          <w:lang w:val="fr-FR"/>
        </w:rPr>
        <w:t>analyser les griefs des requérants sous l</w:t>
      </w:r>
      <w:r w:rsidR="00202D50">
        <w:rPr>
          <w:lang w:val="fr-FR"/>
        </w:rPr>
        <w:t>’</w:t>
      </w:r>
      <w:r w:rsidRPr="009A5CE4">
        <w:rPr>
          <w:lang w:val="fr-FR"/>
        </w:rPr>
        <w:t>angle des articles 6 § 1 de la Convention et 1 du Protocole n</w:t>
      </w:r>
      <w:r w:rsidRPr="009A5CE4">
        <w:rPr>
          <w:vertAlign w:val="superscript"/>
          <w:lang w:val="fr-FR"/>
        </w:rPr>
        <w:t>o</w:t>
      </w:r>
      <w:r w:rsidRPr="009A5CE4">
        <w:rPr>
          <w:lang w:val="fr-FR"/>
        </w:rPr>
        <w:t> 1 qui sont ainsi libellés dans leurs parties pertinentes :</w:t>
      </w:r>
    </w:p>
    <w:p w:rsidR="006D1505" w:rsidRPr="0094209D" w:rsidRDefault="006D1505" w:rsidP="009A5CE4">
      <w:pPr>
        <w:pStyle w:val="ECHRTitleCentre3"/>
      </w:pPr>
      <w:r w:rsidRPr="0094209D">
        <w:t>Article 6 § 1</w:t>
      </w:r>
    </w:p>
    <w:p w:rsidR="006D1505" w:rsidRPr="0094209D" w:rsidRDefault="006D1505" w:rsidP="006D1505">
      <w:pPr>
        <w:pStyle w:val="ECHRParaQuote"/>
      </w:pPr>
      <w:r w:rsidRPr="0094209D">
        <w:rPr>
          <w:rStyle w:val="JuQuotChar"/>
        </w:rPr>
        <w:t>« </w:t>
      </w:r>
      <w:r w:rsidRPr="0094209D">
        <w:t>Toute personne a droit à ce que sa cause soit entendue (...) dans un délai raisonnable, par un tribunal (...), qui décidera (...) des contestations sur ses droits et obligations de caractère civil (...) »</w:t>
      </w:r>
      <w:r w:rsidR="00567EBB" w:rsidRPr="0094209D">
        <w:t>.</w:t>
      </w:r>
    </w:p>
    <w:p w:rsidR="006D1505" w:rsidRPr="0094209D" w:rsidRDefault="006D1505" w:rsidP="009A5CE4">
      <w:pPr>
        <w:pStyle w:val="ECHRTitleCentre3"/>
      </w:pPr>
      <w:r w:rsidRPr="0094209D">
        <w:t>Article 1 du Protocole n</w:t>
      </w:r>
      <w:r w:rsidRPr="0094209D">
        <w:rPr>
          <w:vertAlign w:val="superscript"/>
        </w:rPr>
        <w:t>o</w:t>
      </w:r>
      <w:r w:rsidRPr="0094209D">
        <w:t xml:space="preserve"> 1</w:t>
      </w:r>
    </w:p>
    <w:p w:rsidR="006D1505" w:rsidRPr="00A96A86" w:rsidRDefault="006D1505" w:rsidP="006D1505">
      <w:pPr>
        <w:pStyle w:val="ECHRParaQuote"/>
        <w:rPr>
          <w:lang w:val="fr-FR"/>
        </w:rPr>
      </w:pPr>
      <w:r w:rsidRPr="0094209D">
        <w:t xml:space="preserve">« Toute personne physique ou morale a droit au respect de ses biens. </w:t>
      </w:r>
      <w:r w:rsidRPr="00A96A86">
        <w:rPr>
          <w:lang w:val="fr-FR"/>
        </w:rPr>
        <w:t>Nul ne peut être privé de sa propriété que pour cause d</w:t>
      </w:r>
      <w:r w:rsidR="00202D50">
        <w:rPr>
          <w:lang w:val="fr-FR"/>
        </w:rPr>
        <w:t>’</w:t>
      </w:r>
      <w:r w:rsidRPr="00A96A86">
        <w:rPr>
          <w:lang w:val="fr-FR"/>
        </w:rPr>
        <w:t>utilité publique et dans les conditions prévues par la loi et les principes généraux du droit international.</w:t>
      </w:r>
    </w:p>
    <w:p w:rsidR="006D1505" w:rsidRPr="0094209D" w:rsidRDefault="006D1505" w:rsidP="00020F9B">
      <w:pPr>
        <w:pStyle w:val="ECHRParaQuote"/>
      </w:pPr>
      <w:r w:rsidRPr="00A96A86">
        <w:rPr>
          <w:lang w:val="fr-FR"/>
        </w:rPr>
        <w:t>Les dispositions précédentes ne portent pas atteinte au droit que possèdent les États de mettre en vigueur les lois qu</w:t>
      </w:r>
      <w:r w:rsidR="00202D50">
        <w:rPr>
          <w:lang w:val="fr-FR"/>
        </w:rPr>
        <w:t>’</w:t>
      </w:r>
      <w:r w:rsidRPr="00A96A86">
        <w:rPr>
          <w:lang w:val="fr-FR"/>
        </w:rPr>
        <w:t>ils jugent nécessaires pour réglementer l</w:t>
      </w:r>
      <w:r w:rsidR="00202D50">
        <w:rPr>
          <w:lang w:val="fr-FR"/>
        </w:rPr>
        <w:t>’</w:t>
      </w:r>
      <w:r w:rsidRPr="00A96A86">
        <w:rPr>
          <w:lang w:val="fr-FR"/>
        </w:rPr>
        <w:t>usage des biens conformém</w:t>
      </w:r>
      <w:r w:rsidR="00020F9B" w:rsidRPr="00A96A86">
        <w:rPr>
          <w:lang w:val="fr-FR"/>
        </w:rPr>
        <w:t>ent à l</w:t>
      </w:r>
      <w:r w:rsidR="00202D50">
        <w:rPr>
          <w:lang w:val="fr-FR"/>
        </w:rPr>
        <w:t>’</w:t>
      </w:r>
      <w:r w:rsidR="00020F9B" w:rsidRPr="00A96A86">
        <w:rPr>
          <w:lang w:val="fr-FR"/>
        </w:rPr>
        <w:t>intérêt général (...) </w:t>
      </w:r>
      <w:r w:rsidR="00020F9B" w:rsidRPr="0094209D">
        <w:t>»</w:t>
      </w:r>
      <w:r w:rsidR="00567EBB" w:rsidRPr="0094209D">
        <w:t>.</w:t>
      </w:r>
    </w:p>
    <w:p w:rsidR="004A101C" w:rsidRPr="009A5CE4" w:rsidRDefault="004A101C" w:rsidP="009A5CE4">
      <w:pPr>
        <w:pStyle w:val="ECHRHeading2"/>
      </w:pPr>
      <w:r w:rsidRPr="009A5CE4">
        <w:t>A.  Sur la recevabilité</w:t>
      </w:r>
    </w:p>
    <w:p w:rsidR="004A101C" w:rsidRPr="0094209D" w:rsidRDefault="004A101C" w:rsidP="004A101C">
      <w:pPr>
        <w:pStyle w:val="ECHRHeading3"/>
      </w:pPr>
      <w:r w:rsidRPr="0094209D">
        <w:t>1.  Tardiveté des requêtes</w:t>
      </w:r>
    </w:p>
    <w:p w:rsidR="0041110D" w:rsidRPr="00A96A86" w:rsidRDefault="00E86D85" w:rsidP="0041110D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 w:rsidR="0041110D" w:rsidRPr="0094209D">
        <w:t>.  </w:t>
      </w:r>
      <w:r w:rsidR="0041110D" w:rsidRPr="00A96A86">
        <w:rPr>
          <w:lang w:val="fr-FR"/>
        </w:rPr>
        <w:t>Le Gouvernement excipe de la tardiveté des requêtes quant au grief portant sur</w:t>
      </w:r>
      <w:r w:rsidR="00875073" w:rsidRPr="00A96A86">
        <w:rPr>
          <w:lang w:val="fr-FR"/>
        </w:rPr>
        <w:t xml:space="preserve"> la durée des procédures principales et</w:t>
      </w:r>
      <w:r w:rsidR="0041110D" w:rsidRPr="00A96A86">
        <w:rPr>
          <w:lang w:val="fr-FR"/>
        </w:rPr>
        <w:t xml:space="preserve"> le caractère</w:t>
      </w:r>
      <w:r w:rsidR="00875073" w:rsidRPr="00A96A86">
        <w:rPr>
          <w:lang w:val="fr-FR"/>
        </w:rPr>
        <w:t xml:space="preserve"> prétendument</w:t>
      </w:r>
      <w:r w:rsidR="0041110D" w:rsidRPr="00A96A86">
        <w:rPr>
          <w:lang w:val="fr-FR"/>
        </w:rPr>
        <w:t xml:space="preserve"> inadéquat du redressement accordé dans le cadre du remède interne, les requérants n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ayant contesté l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issue des procédures « Pinto » dans les six mois à compter des clôtures de celles-ci. À titre subsidiaire, le Gouvernement soutient qu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ils auraient dû informer la Cour au cours de l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année suivant le dépôt des décisions « Pinto », en application d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un principe général qui imposerait aux requérants de fournir des renseignements sur leurs requêtes dans un délai d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un an à compter de la suspension.</w:t>
      </w:r>
    </w:p>
    <w:p w:rsidR="0041110D" w:rsidRPr="00A96A86" w:rsidRDefault="00E86D85" w:rsidP="0041110D">
      <w:pPr>
        <w:pStyle w:val="ECHRPara"/>
        <w:rPr>
          <w:szCs w:val="24"/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 w:rsidR="0041110D" w:rsidRPr="0094209D">
        <w:t>.  </w:t>
      </w:r>
      <w:r w:rsidR="0041110D" w:rsidRPr="00A96A86">
        <w:rPr>
          <w:lang w:val="fr-FR"/>
        </w:rPr>
        <w:t>Pour ce qui est des requêtes n</w:t>
      </w:r>
      <w:r w:rsidR="0041110D" w:rsidRPr="00A96A86">
        <w:rPr>
          <w:vertAlign w:val="superscript"/>
          <w:lang w:val="fr-FR"/>
        </w:rPr>
        <w:t>os</w:t>
      </w:r>
      <w:r w:rsidR="0041110D" w:rsidRPr="00A96A86">
        <w:rPr>
          <w:lang w:val="fr-FR"/>
        </w:rPr>
        <w:t xml:space="preserve"> 17760/03 et 17761/03, la Cour </w:t>
      </w:r>
      <w:r w:rsidR="0041110D" w:rsidRPr="00A96A86">
        <w:rPr>
          <w:szCs w:val="24"/>
          <w:lang w:val="fr-FR"/>
        </w:rPr>
        <w:t>note que les décisions des cours d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 xml:space="preserve">appel compétentes ont acquis </w:t>
      </w:r>
      <w:r w:rsidR="00522F68" w:rsidRPr="00A96A86">
        <w:rPr>
          <w:szCs w:val="24"/>
          <w:lang w:val="fr-FR"/>
        </w:rPr>
        <w:t>force de</w:t>
      </w:r>
      <w:r w:rsidR="0041110D" w:rsidRPr="00A96A86">
        <w:rPr>
          <w:szCs w:val="24"/>
          <w:lang w:val="fr-FR"/>
        </w:rPr>
        <w:t xml:space="preserve"> chose jugée le 17 septembre 2002 (voir tableau en annexe), soit bien plus de six mois avant la date d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>introduction des requêtes susmentionnées (</w:t>
      </w:r>
      <w:r w:rsidR="00406BB8" w:rsidRPr="00A96A86">
        <w:rPr>
          <w:color w:val="000000"/>
          <w:lang w:val="fr-FR"/>
        </w:rPr>
        <w:t>4 </w:t>
      </w:r>
      <w:r w:rsidR="0041110D" w:rsidRPr="00A96A86">
        <w:rPr>
          <w:color w:val="000000"/>
          <w:lang w:val="fr-FR"/>
        </w:rPr>
        <w:t>juin</w:t>
      </w:r>
      <w:r w:rsidR="00406BB8" w:rsidRPr="00A96A86">
        <w:rPr>
          <w:color w:val="000000"/>
          <w:lang w:val="fr-FR"/>
        </w:rPr>
        <w:t> </w:t>
      </w:r>
      <w:r w:rsidR="0041110D" w:rsidRPr="00A96A86">
        <w:rPr>
          <w:color w:val="000000"/>
          <w:lang w:val="fr-FR"/>
        </w:rPr>
        <w:t>2003)</w:t>
      </w:r>
      <w:r w:rsidR="0041110D" w:rsidRPr="00A96A86">
        <w:rPr>
          <w:szCs w:val="24"/>
          <w:lang w:val="fr-FR"/>
        </w:rPr>
        <w:t xml:space="preserve">. </w:t>
      </w:r>
      <w:r w:rsidR="00687189" w:rsidRPr="00A96A86">
        <w:rPr>
          <w:szCs w:val="24"/>
          <w:lang w:val="fr-FR"/>
        </w:rPr>
        <w:t xml:space="preserve">En ce qui concerne la durée de la </w:t>
      </w:r>
      <w:r w:rsidR="00A40F33" w:rsidRPr="00A96A86">
        <w:rPr>
          <w:szCs w:val="24"/>
          <w:lang w:val="fr-FR"/>
        </w:rPr>
        <w:t>procédure principale</w:t>
      </w:r>
      <w:r w:rsidR="00687189" w:rsidRPr="00A96A86">
        <w:rPr>
          <w:szCs w:val="24"/>
          <w:lang w:val="fr-FR"/>
        </w:rPr>
        <w:t xml:space="preserve"> postérieure au </w:t>
      </w:r>
      <w:r w:rsidR="00A40F33" w:rsidRPr="00A96A86">
        <w:rPr>
          <w:szCs w:val="24"/>
          <w:lang w:val="fr-FR"/>
        </w:rPr>
        <w:t>1</w:t>
      </w:r>
      <w:r w:rsidR="00687189" w:rsidRPr="00A96A86">
        <w:rPr>
          <w:szCs w:val="24"/>
          <w:lang w:val="fr-FR"/>
        </w:rPr>
        <w:t xml:space="preserve">7 </w:t>
      </w:r>
      <w:r w:rsidR="00A40F33" w:rsidRPr="00A96A86">
        <w:rPr>
          <w:szCs w:val="24"/>
          <w:lang w:val="fr-FR"/>
        </w:rPr>
        <w:t>septembre</w:t>
      </w:r>
      <w:r w:rsidR="00687189" w:rsidRPr="00A96A86">
        <w:rPr>
          <w:szCs w:val="24"/>
          <w:lang w:val="fr-FR"/>
        </w:rPr>
        <w:t xml:space="preserve"> 200</w:t>
      </w:r>
      <w:r w:rsidR="00A40F33" w:rsidRPr="00A96A86">
        <w:rPr>
          <w:szCs w:val="24"/>
          <w:lang w:val="fr-FR"/>
        </w:rPr>
        <w:t>2</w:t>
      </w:r>
      <w:r w:rsidR="00687189" w:rsidRPr="00A96A86">
        <w:rPr>
          <w:szCs w:val="24"/>
          <w:lang w:val="fr-FR"/>
        </w:rPr>
        <w:t xml:space="preserve">, </w:t>
      </w:r>
      <w:r w:rsidR="00A40F33" w:rsidRPr="00A96A86">
        <w:rPr>
          <w:szCs w:val="24"/>
          <w:lang w:val="fr-FR"/>
        </w:rPr>
        <w:t>la Cour</w:t>
      </w:r>
      <w:r w:rsidR="00126BE8" w:rsidRPr="00A96A86">
        <w:rPr>
          <w:szCs w:val="24"/>
          <w:lang w:val="fr-FR"/>
        </w:rPr>
        <w:t>, ainsi qu</w:t>
      </w:r>
      <w:r w:rsidR="00202D50">
        <w:rPr>
          <w:szCs w:val="24"/>
          <w:lang w:val="fr-FR"/>
        </w:rPr>
        <w:t>’</w:t>
      </w:r>
      <w:r w:rsidR="00126BE8" w:rsidRPr="00A96A86">
        <w:rPr>
          <w:szCs w:val="24"/>
          <w:lang w:val="fr-FR"/>
        </w:rPr>
        <w:t>elle l</w:t>
      </w:r>
      <w:r w:rsidR="00202D50">
        <w:rPr>
          <w:szCs w:val="24"/>
          <w:lang w:val="fr-FR"/>
        </w:rPr>
        <w:t>’</w:t>
      </w:r>
      <w:r w:rsidR="00126BE8" w:rsidRPr="00A96A86">
        <w:rPr>
          <w:szCs w:val="24"/>
          <w:lang w:val="fr-FR"/>
        </w:rPr>
        <w:t xml:space="preserve">a affirmé à maintes reprises, notamment dans </w:t>
      </w:r>
      <w:r w:rsidR="00126BE8" w:rsidRPr="00A96A86">
        <w:rPr>
          <w:i/>
          <w:lang w:val="fr-FR"/>
        </w:rPr>
        <w:t>Gattuso c. Italie</w:t>
      </w:r>
      <w:r w:rsidR="00126BE8" w:rsidRPr="00A96A86">
        <w:rPr>
          <w:lang w:val="fr-FR"/>
        </w:rPr>
        <w:t xml:space="preserve"> ((déc.), n</w:t>
      </w:r>
      <w:r w:rsidR="00EE125E" w:rsidRPr="00A96A86">
        <w:rPr>
          <w:vertAlign w:val="superscript"/>
          <w:lang w:val="fr-FR"/>
        </w:rPr>
        <w:t>o</w:t>
      </w:r>
      <w:r w:rsidR="00394C18" w:rsidRPr="00A96A86">
        <w:rPr>
          <w:vertAlign w:val="superscript"/>
          <w:lang w:val="fr-FR"/>
        </w:rPr>
        <w:t> </w:t>
      </w:r>
      <w:r w:rsidR="00126BE8" w:rsidRPr="00A96A86">
        <w:rPr>
          <w:lang w:val="fr-FR"/>
        </w:rPr>
        <w:t>24715/04, 18 novembre 2004),</w:t>
      </w:r>
      <w:r w:rsidR="00A40F33" w:rsidRPr="00A96A86">
        <w:rPr>
          <w:szCs w:val="24"/>
          <w:lang w:val="fr-FR"/>
        </w:rPr>
        <w:t xml:space="preserve"> n</w:t>
      </w:r>
      <w:r w:rsidR="00202D50">
        <w:rPr>
          <w:szCs w:val="24"/>
          <w:lang w:val="fr-FR"/>
        </w:rPr>
        <w:t>’</w:t>
      </w:r>
      <w:r w:rsidR="00A40F33" w:rsidRPr="00A96A86">
        <w:rPr>
          <w:szCs w:val="24"/>
          <w:lang w:val="fr-FR"/>
        </w:rPr>
        <w:t>est pas appelée à se prononcer sur une éventuelle méconnaissance du délai raisonnable</w:t>
      </w:r>
      <w:r w:rsidR="00AD265E" w:rsidRPr="00A96A86">
        <w:rPr>
          <w:lang w:val="fr-FR"/>
        </w:rPr>
        <w:t xml:space="preserve"> </w:t>
      </w:r>
      <w:r w:rsidR="00AD265E" w:rsidRPr="00A96A86">
        <w:rPr>
          <w:szCs w:val="24"/>
          <w:lang w:val="fr-FR"/>
        </w:rPr>
        <w:t xml:space="preserve">car, en tout état de cause, elle estime que </w:t>
      </w:r>
      <w:r w:rsidR="00A40F33" w:rsidRPr="00A96A86">
        <w:rPr>
          <w:szCs w:val="24"/>
          <w:lang w:val="fr-FR"/>
        </w:rPr>
        <w:t>les requérants respectifs auraient dû épuiser à nouveau les voies de recours internes en saisissant une nouvelle fois la cour d</w:t>
      </w:r>
      <w:r w:rsidR="00202D50">
        <w:rPr>
          <w:szCs w:val="24"/>
          <w:lang w:val="fr-FR"/>
        </w:rPr>
        <w:t>’</w:t>
      </w:r>
      <w:r w:rsidR="00A40F33" w:rsidRPr="00A96A86">
        <w:rPr>
          <w:szCs w:val="24"/>
          <w:lang w:val="fr-FR"/>
        </w:rPr>
        <w:t>appel au sens de la « loi Pinto »</w:t>
      </w:r>
      <w:r w:rsidR="00A40F33" w:rsidRPr="00A96A86">
        <w:rPr>
          <w:lang w:val="fr-FR"/>
        </w:rPr>
        <w:t>.</w:t>
      </w:r>
      <w:r w:rsidR="00A40F33" w:rsidRPr="00A96A86">
        <w:rPr>
          <w:szCs w:val="24"/>
          <w:lang w:val="fr-FR"/>
        </w:rPr>
        <w:t xml:space="preserve"> </w:t>
      </w:r>
      <w:r w:rsidR="0041110D" w:rsidRPr="00A96A86">
        <w:rPr>
          <w:szCs w:val="24"/>
          <w:lang w:val="fr-FR"/>
        </w:rPr>
        <w:t>Il s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>ensuit qu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>il y a lieu d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>accueillir l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 xml:space="preserve">exception du Gouvernement et </w:t>
      </w:r>
      <w:r w:rsidR="00BF217E" w:rsidRPr="00A96A86">
        <w:rPr>
          <w:szCs w:val="24"/>
          <w:lang w:val="fr-FR"/>
        </w:rPr>
        <w:t xml:space="preserve">de </w:t>
      </w:r>
      <w:r w:rsidR="0041110D" w:rsidRPr="00A96A86">
        <w:rPr>
          <w:szCs w:val="24"/>
          <w:lang w:val="fr-FR"/>
        </w:rPr>
        <w:t>déclarer irrecevable cette partie des deux requêtes pour tardivité en application de l</w:t>
      </w:r>
      <w:r w:rsidR="00202D50">
        <w:rPr>
          <w:szCs w:val="24"/>
          <w:lang w:val="fr-FR"/>
        </w:rPr>
        <w:t>’</w:t>
      </w:r>
      <w:r w:rsidR="0041110D" w:rsidRPr="00A96A86">
        <w:rPr>
          <w:szCs w:val="24"/>
          <w:lang w:val="fr-FR"/>
        </w:rPr>
        <w:t>article 35 § 1 de la Convention.</w:t>
      </w:r>
    </w:p>
    <w:p w:rsidR="00D2115A" w:rsidRPr="00A96A86" w:rsidRDefault="00E86D85" w:rsidP="00D67222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 w:rsidR="0041110D" w:rsidRPr="0094209D">
        <w:t>.  </w:t>
      </w:r>
      <w:r w:rsidR="0041110D" w:rsidRPr="00A96A86">
        <w:rPr>
          <w:lang w:val="fr-FR"/>
        </w:rPr>
        <w:t>Quant aux autres requêtes, la Cour rappelle d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abord que celles-ci ont été introduites avant l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entrée en vigueur de la loi « Pinto ». Les requérants ayant décidé de maintenir leurs requêtes devant la Cour après la saisine des cours d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appel « Pinto » compétentes, la date d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introduction est celle de leurs requêtes initiales. La Cour constate aussi qu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il ressort des dossiers que les requérants n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ont jamais interrompu leur correspondance avec elle pour des périodes pouvant démontrer un manque d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intérêt pour le maintien de leurs requêtes. Par conséquent, elle estime qu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il y a lieu de rejeter l</w:t>
      </w:r>
      <w:r w:rsidR="00202D50">
        <w:rPr>
          <w:lang w:val="fr-FR"/>
        </w:rPr>
        <w:t>’</w:t>
      </w:r>
      <w:r w:rsidR="0041110D" w:rsidRPr="00A96A86">
        <w:rPr>
          <w:lang w:val="fr-FR"/>
        </w:rPr>
        <w:t>exception du gouvernement.</w:t>
      </w:r>
    </w:p>
    <w:p w:rsidR="00D2115A" w:rsidRPr="0094209D" w:rsidRDefault="008C5350" w:rsidP="00D2115A">
      <w:pPr>
        <w:pStyle w:val="ECHRHeading3"/>
      </w:pPr>
      <w:r w:rsidRPr="0094209D">
        <w:t>2</w:t>
      </w:r>
      <w:r w:rsidR="00D2115A" w:rsidRPr="0094209D">
        <w:t>.  Conclusion</w:t>
      </w:r>
    </w:p>
    <w:p w:rsidR="00D2115A" w:rsidRPr="00A96A86" w:rsidRDefault="00D2115A" w:rsidP="00D2115A">
      <w:pPr>
        <w:pStyle w:val="ECHRPara"/>
        <w:rPr>
          <w:rStyle w:val="ECHRParaChar"/>
          <w:lang w:val="fr-FR"/>
        </w:rPr>
      </w:pPr>
      <w:r w:rsidRPr="0094209D">
        <w:rPr>
          <w:szCs w:val="24"/>
        </w:rPr>
        <w:fldChar w:fldCharType="begin"/>
      </w:r>
      <w:r w:rsidRPr="0094209D">
        <w:rPr>
          <w:szCs w:val="24"/>
        </w:rPr>
        <w:instrText xml:space="preserve"> SEQ level0 \*arabic </w:instrText>
      </w:r>
      <w:r w:rsidRPr="0094209D">
        <w:rPr>
          <w:szCs w:val="24"/>
        </w:rPr>
        <w:fldChar w:fldCharType="separate"/>
      </w:r>
      <w:r w:rsidR="00E86D85">
        <w:rPr>
          <w:noProof/>
          <w:szCs w:val="24"/>
        </w:rPr>
        <w:t>14</w:t>
      </w:r>
      <w:r w:rsidRPr="0094209D">
        <w:rPr>
          <w:szCs w:val="24"/>
        </w:rPr>
        <w:fldChar w:fldCharType="end"/>
      </w:r>
      <w:r w:rsidRPr="0094209D">
        <w:rPr>
          <w:szCs w:val="24"/>
        </w:rPr>
        <w:t>.  </w:t>
      </w:r>
      <w:r w:rsidRPr="00A96A86">
        <w:rPr>
          <w:szCs w:val="24"/>
          <w:lang w:val="fr-FR"/>
        </w:rPr>
        <w:t xml:space="preserve">La Cour constate que les griefs ne se heurtent à aucun autre des </w:t>
      </w:r>
      <w:r w:rsidRPr="00A96A86">
        <w:rPr>
          <w:lang w:val="fr-FR"/>
        </w:rPr>
        <w:t>motifs d</w:t>
      </w:r>
      <w:r w:rsidR="00202D50">
        <w:rPr>
          <w:lang w:val="fr-FR"/>
        </w:rPr>
        <w:t>’</w:t>
      </w:r>
      <w:r w:rsidRPr="00A96A86">
        <w:rPr>
          <w:lang w:val="fr-FR"/>
        </w:rPr>
        <w:t>irrecevabilité inscrits à l</w:t>
      </w:r>
      <w:r w:rsidR="00202D50">
        <w:rPr>
          <w:lang w:val="fr-FR"/>
        </w:rPr>
        <w:t>’</w:t>
      </w:r>
      <w:r w:rsidRPr="00A96A86">
        <w:rPr>
          <w:lang w:val="fr-FR"/>
        </w:rPr>
        <w:t>article 35 § 3 de la Convention. Aussi,</w:t>
      </w:r>
      <w:r w:rsidR="008C5350" w:rsidRPr="00A96A86">
        <w:rPr>
          <w:lang w:val="fr-FR"/>
        </w:rPr>
        <w:t xml:space="preserve"> à l</w:t>
      </w:r>
      <w:r w:rsidR="00202D50">
        <w:rPr>
          <w:lang w:val="fr-FR"/>
        </w:rPr>
        <w:t>’</w:t>
      </w:r>
      <w:r w:rsidR="008C5350" w:rsidRPr="00A96A86">
        <w:rPr>
          <w:lang w:val="fr-FR"/>
        </w:rPr>
        <w:t>exception des griefs tiré</w:t>
      </w:r>
      <w:r w:rsidR="00FE7509" w:rsidRPr="00A96A86">
        <w:rPr>
          <w:lang w:val="fr-FR"/>
        </w:rPr>
        <w:t>s</w:t>
      </w:r>
      <w:r w:rsidR="00F36538" w:rsidRPr="00A96A86">
        <w:rPr>
          <w:lang w:val="fr-FR"/>
        </w:rPr>
        <w:t xml:space="preserve"> de la longueur des procédures principales et de</w:t>
      </w:r>
      <w:r w:rsidR="008C5350" w:rsidRPr="00A96A86">
        <w:rPr>
          <w:lang w:val="fr-FR"/>
        </w:rPr>
        <w:t xml:space="preserve"> l</w:t>
      </w:r>
      <w:r w:rsidR="00202D50">
        <w:rPr>
          <w:lang w:val="fr-FR"/>
        </w:rPr>
        <w:t>’</w:t>
      </w:r>
      <w:r w:rsidR="008C5350" w:rsidRPr="00A96A86">
        <w:rPr>
          <w:lang w:val="fr-FR"/>
        </w:rPr>
        <w:t>insuffisance de l</w:t>
      </w:r>
      <w:r w:rsidR="00202D50">
        <w:rPr>
          <w:lang w:val="fr-FR"/>
        </w:rPr>
        <w:t>’</w:t>
      </w:r>
      <w:r w:rsidR="008C5350" w:rsidRPr="00A96A86">
        <w:rPr>
          <w:lang w:val="fr-FR"/>
        </w:rPr>
        <w:t>indemnisation « Pinto » dans les requêtes n</w:t>
      </w:r>
      <w:r w:rsidR="008C5350" w:rsidRPr="00A96A86">
        <w:rPr>
          <w:vertAlign w:val="superscript"/>
          <w:lang w:val="fr-FR"/>
        </w:rPr>
        <w:t>os</w:t>
      </w:r>
      <w:r w:rsidR="008C5350" w:rsidRPr="00A96A86">
        <w:rPr>
          <w:lang w:val="fr-FR"/>
        </w:rPr>
        <w:t xml:space="preserve"> 17760/03 et 17761/03 (voir § 12 ci-dessus),</w:t>
      </w:r>
      <w:r w:rsidRPr="00A96A86">
        <w:rPr>
          <w:lang w:val="fr-FR"/>
        </w:rPr>
        <w:t xml:space="preserve"> elle les déclare recevables.</w:t>
      </w:r>
    </w:p>
    <w:p w:rsidR="00D2115A" w:rsidRPr="009A5CE4" w:rsidRDefault="00D2115A" w:rsidP="009A5CE4">
      <w:pPr>
        <w:pStyle w:val="ECHRHeading2"/>
      </w:pPr>
      <w:r w:rsidRPr="009A5CE4">
        <w:t>B.  Sur le fond</w:t>
      </w:r>
    </w:p>
    <w:p w:rsidR="00151299" w:rsidRPr="00A96A86" w:rsidRDefault="006C766E" w:rsidP="006C766E">
      <w:pPr>
        <w:pStyle w:val="ECHRHeading3"/>
        <w:tabs>
          <w:tab w:val="clear" w:pos="731"/>
          <w:tab w:val="left" w:pos="851"/>
        </w:tabs>
        <w:ind w:left="851" w:hanging="420"/>
        <w:rPr>
          <w:lang w:val="fr-FR"/>
        </w:rPr>
      </w:pPr>
      <w:r w:rsidRPr="0094209D">
        <w:t>1.  </w:t>
      </w:r>
      <w:r w:rsidR="00151299" w:rsidRPr="00A96A86">
        <w:rPr>
          <w:lang w:val="fr-FR"/>
        </w:rPr>
        <w:t>Sur le grief ayant trait à la durée des procédures principales et de l</w:t>
      </w:r>
      <w:r w:rsidR="00202D50">
        <w:rPr>
          <w:lang w:val="fr-FR"/>
        </w:rPr>
        <w:t>’</w:t>
      </w:r>
      <w:r w:rsidR="00151299" w:rsidRPr="00A96A86">
        <w:rPr>
          <w:lang w:val="fr-FR"/>
        </w:rPr>
        <w:t>insuffisance du redressement obtenu dans le cadre du remède « Pinto »</w:t>
      </w:r>
      <w:r w:rsidR="00406BB8" w:rsidRPr="00A96A86">
        <w:rPr>
          <w:lang w:val="fr-FR"/>
        </w:rPr>
        <w:t xml:space="preserve"> (pour toutes les requêtes </w:t>
      </w:r>
      <w:r w:rsidR="001901CA" w:rsidRPr="00A96A86">
        <w:rPr>
          <w:lang w:val="fr-FR"/>
        </w:rPr>
        <w:t xml:space="preserve">exceptées les requêtes </w:t>
      </w:r>
      <w:r w:rsidR="00406BB8" w:rsidRPr="00A96A86">
        <w:rPr>
          <w:lang w:val="fr-FR"/>
        </w:rPr>
        <w:t>n</w:t>
      </w:r>
      <w:r w:rsidR="00406BB8" w:rsidRPr="00A96A86">
        <w:rPr>
          <w:vertAlign w:val="superscript"/>
          <w:lang w:val="fr-FR"/>
        </w:rPr>
        <w:t>os</w:t>
      </w:r>
      <w:r w:rsidR="001901CA" w:rsidRPr="00A96A86">
        <w:rPr>
          <w:vertAlign w:val="superscript"/>
          <w:lang w:val="fr-FR"/>
        </w:rPr>
        <w:t> </w:t>
      </w:r>
      <w:r w:rsidR="001901CA" w:rsidRPr="00A96A86">
        <w:rPr>
          <w:lang w:val="fr-FR"/>
        </w:rPr>
        <w:t>1</w:t>
      </w:r>
      <w:r w:rsidR="00406BB8" w:rsidRPr="00A96A86">
        <w:rPr>
          <w:lang w:val="fr-FR"/>
        </w:rPr>
        <w:t>7760/03 et 17761/03)</w:t>
      </w:r>
    </w:p>
    <w:p w:rsidR="00D2115A" w:rsidRPr="0094209D" w:rsidRDefault="00E86D85" w:rsidP="00151299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 w:rsidR="00D2115A" w:rsidRPr="0094209D">
        <w:t>.</w:t>
      </w:r>
      <w:r w:rsidR="00514BE6">
        <w:t>  </w:t>
      </w:r>
      <w:r w:rsidR="00406BB8" w:rsidRPr="0094209D">
        <w:t>L</w:t>
      </w:r>
      <w:r w:rsidR="00D2115A" w:rsidRPr="0094209D">
        <w:t>a Cour constate que les procédures litigieuses</w:t>
      </w:r>
      <w:r w:rsidR="00151299" w:rsidRPr="0094209D">
        <w:t xml:space="preserve"> </w:t>
      </w:r>
      <w:r w:rsidR="00D2115A" w:rsidRPr="0094209D">
        <w:t>ont duré, respectivement :</w:t>
      </w:r>
    </w:p>
    <w:p w:rsidR="00D2115A" w:rsidRPr="009A5CE4" w:rsidRDefault="00D2115A" w:rsidP="00202D50">
      <w:pPr>
        <w:pStyle w:val="ECHRPara"/>
        <w:numPr>
          <w:ilvl w:val="0"/>
          <w:numId w:val="11"/>
        </w:numPr>
        <w:tabs>
          <w:tab w:val="clear" w:pos="1004"/>
          <w:tab w:val="num" w:pos="851"/>
        </w:tabs>
        <w:suppressAutoHyphens/>
        <w:ind w:left="851" w:hanging="567"/>
        <w:rPr>
          <w:szCs w:val="24"/>
          <w:lang w:val="fr-FR"/>
        </w:rPr>
      </w:pPr>
      <w:r w:rsidRPr="009A5CE4">
        <w:rPr>
          <w:szCs w:val="24"/>
          <w:lang w:val="fr-FR"/>
        </w:rPr>
        <w:t>n</w:t>
      </w:r>
      <w:r w:rsidRPr="009A5CE4">
        <w:rPr>
          <w:szCs w:val="24"/>
          <w:vertAlign w:val="superscript"/>
          <w:lang w:val="fr-FR"/>
        </w:rPr>
        <w:t>o</w:t>
      </w:r>
      <w:r w:rsidRPr="009A5CE4">
        <w:rPr>
          <w:szCs w:val="24"/>
          <w:lang w:val="fr-FR"/>
        </w:rPr>
        <w:t> </w:t>
      </w:r>
      <w:r w:rsidR="00D54810" w:rsidRPr="009A5CE4">
        <w:rPr>
          <w:color w:val="000000"/>
          <w:szCs w:val="24"/>
          <w:lang w:val="fr-FR"/>
        </w:rPr>
        <w:t>19903</w:t>
      </w:r>
      <w:r w:rsidRPr="009A5CE4">
        <w:rPr>
          <w:color w:val="000000"/>
          <w:szCs w:val="24"/>
          <w:lang w:val="fr-FR"/>
        </w:rPr>
        <w:t xml:space="preserve">/03 </w:t>
      </w:r>
      <w:r w:rsidR="00B61730" w:rsidRPr="009A5CE4">
        <w:rPr>
          <w:szCs w:val="24"/>
          <w:lang w:val="fr-FR"/>
        </w:rPr>
        <w:t>: 14 ans et 5</w:t>
      </w:r>
      <w:r w:rsidRPr="009A5CE4">
        <w:rPr>
          <w:szCs w:val="24"/>
          <w:lang w:val="fr-FR"/>
        </w:rPr>
        <w:t xml:space="preserve"> mois</w:t>
      </w:r>
      <w:r w:rsidR="00B61730" w:rsidRPr="009A5CE4">
        <w:rPr>
          <w:szCs w:val="24"/>
          <w:lang w:val="fr-FR"/>
        </w:rPr>
        <w:t xml:space="preserve"> pour un degré de juridiction (10</w:t>
      </w:r>
      <w:r w:rsidR="00394C18" w:rsidRPr="009A5CE4">
        <w:rPr>
          <w:szCs w:val="24"/>
          <w:lang w:val="fr-FR"/>
        </w:rPr>
        <w:t> </w:t>
      </w:r>
      <w:r w:rsidR="00B61730" w:rsidRPr="009A5CE4">
        <w:rPr>
          <w:szCs w:val="24"/>
          <w:lang w:val="fr-FR"/>
        </w:rPr>
        <w:t>ans et 8</w:t>
      </w:r>
      <w:r w:rsidRPr="009A5CE4">
        <w:rPr>
          <w:szCs w:val="24"/>
          <w:lang w:val="fr-FR"/>
        </w:rPr>
        <w:t xml:space="preserve"> mois à la date du dépôt de la décision « Pinto ») ;</w:t>
      </w:r>
    </w:p>
    <w:p w:rsidR="00D2115A" w:rsidRPr="0094209D" w:rsidRDefault="00D2115A" w:rsidP="00202D50">
      <w:pPr>
        <w:pStyle w:val="ECHRPara"/>
        <w:numPr>
          <w:ilvl w:val="0"/>
          <w:numId w:val="11"/>
        </w:numPr>
        <w:tabs>
          <w:tab w:val="clear" w:pos="1004"/>
          <w:tab w:val="num" w:pos="851"/>
        </w:tabs>
        <w:suppressAutoHyphens/>
        <w:ind w:left="851" w:hanging="567"/>
        <w:rPr>
          <w:szCs w:val="24"/>
        </w:rPr>
      </w:pPr>
      <w:r w:rsidRPr="0094209D">
        <w:rPr>
          <w:szCs w:val="24"/>
        </w:rPr>
        <w:t>n</w:t>
      </w:r>
      <w:r w:rsidRPr="0094209D">
        <w:rPr>
          <w:szCs w:val="24"/>
          <w:vertAlign w:val="superscript"/>
        </w:rPr>
        <w:t>o</w:t>
      </w:r>
      <w:r w:rsidRPr="0094209D">
        <w:rPr>
          <w:szCs w:val="24"/>
        </w:rPr>
        <w:t> </w:t>
      </w:r>
      <w:r w:rsidR="00C629AB" w:rsidRPr="0094209D">
        <w:rPr>
          <w:color w:val="000000"/>
          <w:szCs w:val="24"/>
        </w:rPr>
        <w:t>19905</w:t>
      </w:r>
      <w:r w:rsidRPr="0094209D">
        <w:rPr>
          <w:color w:val="000000"/>
          <w:szCs w:val="24"/>
        </w:rPr>
        <w:t xml:space="preserve">/03 </w:t>
      </w:r>
      <w:r w:rsidR="00C629AB" w:rsidRPr="0094209D">
        <w:rPr>
          <w:szCs w:val="24"/>
        </w:rPr>
        <w:t>: 6</w:t>
      </w:r>
      <w:r w:rsidRPr="0094209D">
        <w:rPr>
          <w:szCs w:val="24"/>
        </w:rPr>
        <w:t xml:space="preserve"> ans</w:t>
      </w:r>
      <w:r w:rsidR="00C629AB" w:rsidRPr="0094209D">
        <w:rPr>
          <w:szCs w:val="24"/>
        </w:rPr>
        <w:t xml:space="preserve"> et 10 mois pour un degré</w:t>
      </w:r>
      <w:r w:rsidRPr="0094209D">
        <w:rPr>
          <w:szCs w:val="24"/>
        </w:rPr>
        <w:t xml:space="preserve"> de juridiction ;</w:t>
      </w:r>
    </w:p>
    <w:p w:rsidR="00D2115A" w:rsidRPr="0094209D" w:rsidRDefault="00D2115A" w:rsidP="00202D50">
      <w:pPr>
        <w:pStyle w:val="ECHRPara"/>
        <w:numPr>
          <w:ilvl w:val="0"/>
          <w:numId w:val="11"/>
        </w:numPr>
        <w:tabs>
          <w:tab w:val="clear" w:pos="1004"/>
          <w:tab w:val="num" w:pos="851"/>
        </w:tabs>
        <w:suppressAutoHyphens/>
        <w:ind w:left="851" w:hanging="567"/>
        <w:rPr>
          <w:szCs w:val="24"/>
        </w:rPr>
      </w:pPr>
      <w:r w:rsidRPr="0094209D">
        <w:rPr>
          <w:szCs w:val="24"/>
        </w:rPr>
        <w:t>n</w:t>
      </w:r>
      <w:r w:rsidRPr="0094209D">
        <w:rPr>
          <w:szCs w:val="24"/>
          <w:vertAlign w:val="superscript"/>
        </w:rPr>
        <w:t>o</w:t>
      </w:r>
      <w:r w:rsidRPr="0094209D">
        <w:rPr>
          <w:szCs w:val="24"/>
        </w:rPr>
        <w:t> </w:t>
      </w:r>
      <w:r w:rsidR="003254C8" w:rsidRPr="0094209D">
        <w:rPr>
          <w:color w:val="000000"/>
          <w:szCs w:val="24"/>
        </w:rPr>
        <w:t>19908</w:t>
      </w:r>
      <w:r w:rsidRPr="0094209D">
        <w:rPr>
          <w:color w:val="000000"/>
          <w:szCs w:val="24"/>
        </w:rPr>
        <w:t xml:space="preserve">/03 </w:t>
      </w:r>
      <w:r w:rsidR="003254C8" w:rsidRPr="0094209D">
        <w:rPr>
          <w:szCs w:val="24"/>
        </w:rPr>
        <w:t>: 13 ans et 3</w:t>
      </w:r>
      <w:r w:rsidRPr="0094209D">
        <w:rPr>
          <w:szCs w:val="24"/>
        </w:rPr>
        <w:t xml:space="preserve"> mois pour un degré de juridiction</w:t>
      </w:r>
      <w:r w:rsidR="009867CA" w:rsidRPr="0094209D">
        <w:rPr>
          <w:szCs w:val="24"/>
        </w:rPr>
        <w:t xml:space="preserve"> (11</w:t>
      </w:r>
      <w:r w:rsidR="00394C18">
        <w:rPr>
          <w:szCs w:val="24"/>
        </w:rPr>
        <w:t> </w:t>
      </w:r>
      <w:r w:rsidR="009867CA" w:rsidRPr="0094209D">
        <w:rPr>
          <w:szCs w:val="24"/>
        </w:rPr>
        <w:t>ans et 3</w:t>
      </w:r>
      <w:r w:rsidR="003254C8" w:rsidRPr="0094209D">
        <w:rPr>
          <w:szCs w:val="24"/>
        </w:rPr>
        <w:t xml:space="preserve"> mois à la date du dépôt de la décision « Pinto »)</w:t>
      </w:r>
      <w:r w:rsidRPr="0094209D">
        <w:rPr>
          <w:szCs w:val="24"/>
        </w:rPr>
        <w:t xml:space="preserve"> ;</w:t>
      </w:r>
    </w:p>
    <w:p w:rsidR="00D2115A" w:rsidRPr="0094209D" w:rsidRDefault="00D2115A" w:rsidP="00202D50">
      <w:pPr>
        <w:pStyle w:val="ECHRPara"/>
        <w:numPr>
          <w:ilvl w:val="0"/>
          <w:numId w:val="11"/>
        </w:numPr>
        <w:tabs>
          <w:tab w:val="clear" w:pos="1004"/>
          <w:tab w:val="num" w:pos="851"/>
        </w:tabs>
        <w:suppressAutoHyphens/>
        <w:ind w:left="851" w:hanging="567"/>
        <w:rPr>
          <w:szCs w:val="24"/>
        </w:rPr>
      </w:pPr>
      <w:r w:rsidRPr="0094209D">
        <w:rPr>
          <w:szCs w:val="24"/>
        </w:rPr>
        <w:t>n</w:t>
      </w:r>
      <w:r w:rsidRPr="0094209D">
        <w:rPr>
          <w:szCs w:val="24"/>
          <w:vertAlign w:val="superscript"/>
        </w:rPr>
        <w:t>o</w:t>
      </w:r>
      <w:r w:rsidRPr="0094209D">
        <w:rPr>
          <w:szCs w:val="24"/>
        </w:rPr>
        <w:t> </w:t>
      </w:r>
      <w:r w:rsidR="003254C8" w:rsidRPr="0094209D">
        <w:rPr>
          <w:color w:val="000000"/>
          <w:szCs w:val="24"/>
        </w:rPr>
        <w:t>19911</w:t>
      </w:r>
      <w:r w:rsidRPr="0094209D">
        <w:rPr>
          <w:color w:val="000000"/>
          <w:szCs w:val="24"/>
        </w:rPr>
        <w:t xml:space="preserve">/03 </w:t>
      </w:r>
      <w:r w:rsidR="00777A8E" w:rsidRPr="0094209D">
        <w:rPr>
          <w:szCs w:val="24"/>
        </w:rPr>
        <w:t>: 10</w:t>
      </w:r>
      <w:r w:rsidR="003254C8" w:rsidRPr="0094209D">
        <w:rPr>
          <w:szCs w:val="24"/>
        </w:rPr>
        <w:t xml:space="preserve"> ans et 6</w:t>
      </w:r>
      <w:r w:rsidRPr="0094209D">
        <w:rPr>
          <w:szCs w:val="24"/>
        </w:rPr>
        <w:t xml:space="preserve"> mois pour un degré de juridiction</w:t>
      </w:r>
      <w:r w:rsidR="003254C8" w:rsidRPr="0094209D">
        <w:rPr>
          <w:szCs w:val="24"/>
        </w:rPr>
        <w:t xml:space="preserve"> (9</w:t>
      </w:r>
      <w:r w:rsidR="00394C18">
        <w:rPr>
          <w:szCs w:val="24"/>
        </w:rPr>
        <w:t> </w:t>
      </w:r>
      <w:r w:rsidR="003254C8" w:rsidRPr="0094209D">
        <w:rPr>
          <w:szCs w:val="24"/>
        </w:rPr>
        <w:t xml:space="preserve">ans et </w:t>
      </w:r>
      <w:r w:rsidR="004C1E2F" w:rsidRPr="0094209D">
        <w:rPr>
          <w:szCs w:val="24"/>
        </w:rPr>
        <w:t>4</w:t>
      </w:r>
      <w:r w:rsidR="003254C8" w:rsidRPr="0094209D">
        <w:rPr>
          <w:szCs w:val="24"/>
        </w:rPr>
        <w:t xml:space="preserve"> mois à la date du dépôt de la décision « Pinto »)</w:t>
      </w:r>
      <w:r w:rsidRPr="0094209D">
        <w:rPr>
          <w:szCs w:val="24"/>
        </w:rPr>
        <w:t xml:space="preserve"> ;</w:t>
      </w:r>
    </w:p>
    <w:p w:rsidR="00D2115A" w:rsidRPr="0094209D" w:rsidRDefault="00D2115A" w:rsidP="00202D50">
      <w:pPr>
        <w:pStyle w:val="ECHRPara"/>
        <w:numPr>
          <w:ilvl w:val="0"/>
          <w:numId w:val="11"/>
        </w:numPr>
        <w:tabs>
          <w:tab w:val="clear" w:pos="1004"/>
          <w:tab w:val="num" w:pos="851"/>
        </w:tabs>
        <w:suppressAutoHyphens/>
        <w:ind w:left="851" w:hanging="567"/>
        <w:rPr>
          <w:szCs w:val="24"/>
        </w:rPr>
      </w:pPr>
      <w:r w:rsidRPr="0094209D">
        <w:rPr>
          <w:szCs w:val="24"/>
        </w:rPr>
        <w:t>n</w:t>
      </w:r>
      <w:r w:rsidRPr="0094209D">
        <w:rPr>
          <w:szCs w:val="24"/>
          <w:vertAlign w:val="superscript"/>
        </w:rPr>
        <w:t>o</w:t>
      </w:r>
      <w:r w:rsidR="003254C8" w:rsidRPr="0094209D">
        <w:rPr>
          <w:szCs w:val="24"/>
        </w:rPr>
        <w:t> 19915/03 : 19 ans et 5</w:t>
      </w:r>
      <w:r w:rsidRPr="0094209D">
        <w:rPr>
          <w:szCs w:val="24"/>
        </w:rPr>
        <w:t xml:space="preserve"> mois pour un degré de juridiction (1</w:t>
      </w:r>
      <w:r w:rsidR="003254C8" w:rsidRPr="0094209D">
        <w:rPr>
          <w:szCs w:val="24"/>
        </w:rPr>
        <w:t>6</w:t>
      </w:r>
      <w:r w:rsidR="00394C18">
        <w:rPr>
          <w:szCs w:val="24"/>
        </w:rPr>
        <w:t> </w:t>
      </w:r>
      <w:r w:rsidR="003254C8" w:rsidRPr="0094209D">
        <w:rPr>
          <w:szCs w:val="24"/>
        </w:rPr>
        <w:t>ans et 9</w:t>
      </w:r>
      <w:r w:rsidRPr="0094209D">
        <w:rPr>
          <w:szCs w:val="24"/>
        </w:rPr>
        <w:t xml:space="preserve"> mois à la date du dépôt de la décision « Pinto ») ;</w:t>
      </w:r>
    </w:p>
    <w:p w:rsidR="00D2115A" w:rsidRPr="0094209D" w:rsidRDefault="00D2115A" w:rsidP="00202D50">
      <w:pPr>
        <w:pStyle w:val="ECHRPara"/>
        <w:numPr>
          <w:ilvl w:val="0"/>
          <w:numId w:val="11"/>
        </w:numPr>
        <w:tabs>
          <w:tab w:val="clear" w:pos="1004"/>
          <w:tab w:val="num" w:pos="851"/>
        </w:tabs>
        <w:suppressAutoHyphens/>
        <w:ind w:left="851" w:hanging="567"/>
        <w:rPr>
          <w:szCs w:val="24"/>
        </w:rPr>
      </w:pPr>
      <w:r w:rsidRPr="0094209D">
        <w:rPr>
          <w:szCs w:val="24"/>
        </w:rPr>
        <w:t>n</w:t>
      </w:r>
      <w:r w:rsidRPr="0094209D">
        <w:rPr>
          <w:szCs w:val="24"/>
          <w:vertAlign w:val="superscript"/>
        </w:rPr>
        <w:t>o</w:t>
      </w:r>
      <w:r w:rsidR="003254C8" w:rsidRPr="0094209D">
        <w:rPr>
          <w:szCs w:val="24"/>
        </w:rPr>
        <w:t> 20114/03 : 5 ans et 11</w:t>
      </w:r>
      <w:r w:rsidRPr="0094209D">
        <w:rPr>
          <w:szCs w:val="24"/>
        </w:rPr>
        <w:t xml:space="preserve"> moi</w:t>
      </w:r>
      <w:r w:rsidR="00514BE6">
        <w:rPr>
          <w:szCs w:val="24"/>
        </w:rPr>
        <w:t>s pour un degré de juridiction.</w:t>
      </w:r>
    </w:p>
    <w:p w:rsidR="00D2115A" w:rsidRPr="00A96A86" w:rsidRDefault="00D2115A" w:rsidP="00D2115A">
      <w:pPr>
        <w:pStyle w:val="ECHRPara"/>
        <w:rPr>
          <w:lang w:val="fr-FR"/>
        </w:rPr>
      </w:pPr>
      <w:r w:rsidRPr="0094209D">
        <w:fldChar w:fldCharType="begin"/>
      </w:r>
      <w:r w:rsidRPr="00A96A86">
        <w:rPr>
          <w:lang w:val="fr-FR"/>
        </w:rPr>
        <w:instrText xml:space="preserve"> SEQ level0 \*arabic </w:instrText>
      </w:r>
      <w:r w:rsidRPr="0094209D">
        <w:fldChar w:fldCharType="separate"/>
      </w:r>
      <w:r w:rsidR="00E86D85">
        <w:rPr>
          <w:noProof/>
          <w:lang w:val="fr-FR"/>
        </w:rPr>
        <w:t>16</w:t>
      </w:r>
      <w:r w:rsidRPr="0094209D">
        <w:fldChar w:fldCharType="end"/>
      </w:r>
      <w:r w:rsidR="006C766E" w:rsidRPr="00A96A86">
        <w:rPr>
          <w:lang w:val="fr-FR"/>
        </w:rPr>
        <w:t>.  </w:t>
      </w:r>
      <w:r w:rsidRPr="00A96A86">
        <w:rPr>
          <w:lang w:val="fr-FR"/>
        </w:rPr>
        <w:t>La Cour a traité à maintes reprises des requêtes soulevant des questions semblables à celles des cas d</w:t>
      </w:r>
      <w:r w:rsidR="00202D50">
        <w:rPr>
          <w:lang w:val="fr-FR"/>
        </w:rPr>
        <w:t>’</w:t>
      </w:r>
      <w:r w:rsidRPr="00A96A86">
        <w:rPr>
          <w:lang w:val="fr-FR"/>
        </w:rPr>
        <w:t>espèce et a constaté une méconnaissance de l</w:t>
      </w:r>
      <w:r w:rsidR="00202D50">
        <w:rPr>
          <w:lang w:val="fr-FR"/>
        </w:rPr>
        <w:t>’</w:t>
      </w:r>
      <w:r w:rsidRPr="00A96A86">
        <w:rPr>
          <w:lang w:val="fr-FR"/>
        </w:rPr>
        <w:t xml:space="preserve">exigence du « délai raisonnable », compte tenu des critères dégagés par sa jurisprudence bien établie en la matière (voir, en premier lieu, </w:t>
      </w:r>
      <w:r w:rsidRPr="00A96A86">
        <w:rPr>
          <w:i/>
          <w:lang w:val="fr-FR"/>
        </w:rPr>
        <w:t>Cocchiarella</w:t>
      </w:r>
      <w:r w:rsidR="00990891" w:rsidRPr="00A96A86">
        <w:rPr>
          <w:lang w:val="fr-FR"/>
        </w:rPr>
        <w:t>,</w:t>
      </w:r>
      <w:r w:rsidRPr="00A96A86">
        <w:rPr>
          <w:lang w:val="fr-FR"/>
        </w:rPr>
        <w:t xml:space="preserve"> précité). N</w:t>
      </w:r>
      <w:r w:rsidR="00202D50">
        <w:rPr>
          <w:lang w:val="fr-FR"/>
        </w:rPr>
        <w:t>’</w:t>
      </w:r>
      <w:r w:rsidRPr="00A96A86">
        <w:rPr>
          <w:lang w:val="fr-FR"/>
        </w:rPr>
        <w:t>apercevant rien qui puisse mener à une conclusion différente dans la présente affaire, la Cour estime qu</w:t>
      </w:r>
      <w:r w:rsidR="00202D50">
        <w:rPr>
          <w:lang w:val="fr-FR"/>
        </w:rPr>
        <w:t>’</w:t>
      </w:r>
      <w:r w:rsidRPr="00A96A86">
        <w:rPr>
          <w:lang w:val="fr-FR"/>
        </w:rPr>
        <w:t>il y a également lieu de constater, dans chaque requête</w:t>
      </w:r>
      <w:r w:rsidR="00D170D6" w:rsidRPr="00A96A86">
        <w:rPr>
          <w:lang w:val="fr-FR"/>
        </w:rPr>
        <w:t xml:space="preserve"> à l</w:t>
      </w:r>
      <w:r w:rsidR="00202D50">
        <w:rPr>
          <w:lang w:val="fr-FR"/>
        </w:rPr>
        <w:t>’</w:t>
      </w:r>
      <w:r w:rsidR="00D170D6" w:rsidRPr="00A96A86">
        <w:rPr>
          <w:lang w:val="fr-FR"/>
        </w:rPr>
        <w:t>exception des requêtes n</w:t>
      </w:r>
      <w:r w:rsidR="00D170D6" w:rsidRPr="00A96A86">
        <w:rPr>
          <w:vertAlign w:val="superscript"/>
          <w:lang w:val="fr-FR"/>
        </w:rPr>
        <w:t>os</w:t>
      </w:r>
      <w:r w:rsidR="00D170D6" w:rsidRPr="00A96A86">
        <w:rPr>
          <w:lang w:val="fr-FR"/>
        </w:rPr>
        <w:t xml:space="preserve"> 17760/03 et 17761/03 (voir § 12 ci-dessus)</w:t>
      </w:r>
      <w:r w:rsidRPr="00A96A86">
        <w:rPr>
          <w:lang w:val="fr-FR"/>
        </w:rPr>
        <w:t>, une violation de l</w:t>
      </w:r>
      <w:r w:rsidR="00202D50">
        <w:rPr>
          <w:lang w:val="fr-FR"/>
        </w:rPr>
        <w:t>’</w:t>
      </w:r>
      <w:r w:rsidRPr="00A96A86">
        <w:rPr>
          <w:lang w:val="fr-FR"/>
        </w:rPr>
        <w:t>article 6</w:t>
      </w:r>
      <w:r w:rsidR="00D170D6" w:rsidRPr="00A96A86">
        <w:rPr>
          <w:lang w:val="fr-FR"/>
        </w:rPr>
        <w:t> </w:t>
      </w:r>
      <w:r w:rsidRPr="00A96A86">
        <w:rPr>
          <w:lang w:val="fr-FR"/>
        </w:rPr>
        <w:t>§</w:t>
      </w:r>
      <w:r w:rsidR="00D170D6" w:rsidRPr="00A96A86">
        <w:rPr>
          <w:lang w:val="fr-FR"/>
        </w:rPr>
        <w:t> </w:t>
      </w:r>
      <w:r w:rsidRPr="00A96A86">
        <w:rPr>
          <w:lang w:val="fr-FR"/>
        </w:rPr>
        <w:t>1 de la Convention, pour les mêmes motifs.</w:t>
      </w:r>
    </w:p>
    <w:p w:rsidR="00151299" w:rsidRPr="0094209D" w:rsidRDefault="006C766E" w:rsidP="00514BE6">
      <w:pPr>
        <w:pStyle w:val="ECHRHeading3"/>
        <w:tabs>
          <w:tab w:val="clear" w:pos="731"/>
        </w:tabs>
        <w:ind w:left="851" w:hanging="420"/>
      </w:pPr>
      <w:r w:rsidRPr="0094209D">
        <w:t>2.  </w:t>
      </w:r>
      <w:r w:rsidR="00151299" w:rsidRPr="0094209D">
        <w:t>Sur le grief portant sur le versement tardif des indemnisations « Pinto »</w:t>
      </w:r>
      <w:r w:rsidR="001901CA" w:rsidRPr="0094209D">
        <w:t xml:space="preserve"> (pour toutes les requêtes)</w:t>
      </w:r>
    </w:p>
    <w:p w:rsidR="00A96A86" w:rsidRPr="00A96A86" w:rsidRDefault="00E86D85" w:rsidP="00D2115A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 w:rsidR="00D2115A" w:rsidRPr="0094209D">
        <w:t>.  </w:t>
      </w:r>
      <w:r w:rsidR="00151299" w:rsidRPr="00A96A86">
        <w:rPr>
          <w:lang w:val="fr-FR"/>
        </w:rPr>
        <w:t>L</w:t>
      </w:r>
      <w:r w:rsidR="00D2115A" w:rsidRPr="00A96A86">
        <w:rPr>
          <w:lang w:val="fr-FR"/>
        </w:rPr>
        <w:t>e Gouvernement allègue que ledit retard serait compensé par l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>octroi d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>intérêts moratoires au moment du paiement.</w:t>
      </w:r>
    </w:p>
    <w:p w:rsidR="00041F0C" w:rsidRPr="009A5CE4" w:rsidRDefault="00D2115A" w:rsidP="009A5CE4">
      <w:pPr>
        <w:pStyle w:val="ECHRPara"/>
        <w:rPr>
          <w:lang w:val="fr-FR" w:eastAsia="en-GB"/>
        </w:rPr>
      </w:pPr>
      <w:r w:rsidRPr="0094209D">
        <w:fldChar w:fldCharType="begin"/>
      </w:r>
      <w:r w:rsidRPr="00A96A86">
        <w:rPr>
          <w:lang w:val="fr-FR"/>
        </w:rPr>
        <w:instrText xml:space="preserve"> SEQ level0 \*arabic </w:instrText>
      </w:r>
      <w:r w:rsidRPr="0094209D">
        <w:fldChar w:fldCharType="separate"/>
      </w:r>
      <w:r w:rsidR="00E86D85">
        <w:rPr>
          <w:noProof/>
          <w:lang w:val="fr-FR"/>
        </w:rPr>
        <w:t>18</w:t>
      </w:r>
      <w:r w:rsidRPr="0094209D">
        <w:fldChar w:fldCharType="end"/>
      </w:r>
      <w:r w:rsidRPr="00A96A86">
        <w:rPr>
          <w:lang w:val="fr-FR"/>
        </w:rPr>
        <w:t>.  L</w:t>
      </w:r>
      <w:r w:rsidRPr="00A96A86">
        <w:rPr>
          <w:lang w:val="fr-FR" w:eastAsia="en-GB"/>
        </w:rPr>
        <w:t>a Cour rappelle avoir déjà admis qu</w:t>
      </w:r>
      <w:r w:rsidR="00202D50">
        <w:rPr>
          <w:lang w:val="fr-FR" w:eastAsia="en-GB"/>
        </w:rPr>
        <w:t>’</w:t>
      </w:r>
      <w:r w:rsidRPr="00A96A86">
        <w:rPr>
          <w:lang w:val="fr-FR" w:eastAsia="en-GB"/>
        </w:rPr>
        <w:t>une administration puisse avoir besoin d</w:t>
      </w:r>
      <w:r w:rsidR="00202D50">
        <w:rPr>
          <w:lang w:val="fr-FR" w:eastAsia="en-GB"/>
        </w:rPr>
        <w:t>’</w:t>
      </w:r>
      <w:r w:rsidRPr="00A96A86">
        <w:rPr>
          <w:lang w:val="fr-FR" w:eastAsia="en-GB"/>
        </w:rPr>
        <w:t xml:space="preserve">un certain laps de temps pour procéder à un paiement. </w:t>
      </w:r>
      <w:r w:rsidRPr="009A5CE4">
        <w:rPr>
          <w:lang w:val="fr-FR" w:eastAsia="en-GB"/>
        </w:rPr>
        <w:t>Néanmoins, s</w:t>
      </w:r>
      <w:r w:rsidR="00202D50">
        <w:rPr>
          <w:lang w:val="fr-FR" w:eastAsia="en-GB"/>
        </w:rPr>
        <w:t>’</w:t>
      </w:r>
      <w:r w:rsidRPr="009A5CE4">
        <w:rPr>
          <w:lang w:val="fr-FR" w:eastAsia="en-GB"/>
        </w:rPr>
        <w:t>agissant d</w:t>
      </w:r>
      <w:r w:rsidR="00202D50">
        <w:rPr>
          <w:lang w:val="fr-FR" w:eastAsia="en-GB"/>
        </w:rPr>
        <w:t>’</w:t>
      </w:r>
      <w:r w:rsidRPr="009A5CE4">
        <w:rPr>
          <w:lang w:val="fr-FR" w:eastAsia="en-GB"/>
        </w:rPr>
        <w:t>un recours indemnitaire visant à redresser les conséquences de la durée excessive de procédures, ce laps de temps ne devrait généralement pas dépasser six mois à compter du moment où la décision d</w:t>
      </w:r>
      <w:r w:rsidR="00202D50">
        <w:rPr>
          <w:lang w:val="fr-FR" w:eastAsia="en-GB"/>
        </w:rPr>
        <w:t>’</w:t>
      </w:r>
      <w:r w:rsidRPr="009A5CE4">
        <w:rPr>
          <w:lang w:val="fr-FR" w:eastAsia="en-GB"/>
        </w:rPr>
        <w:t xml:space="preserve">indemnisation est devenue exécutoire (voir, entre autres, </w:t>
      </w:r>
      <w:r w:rsidRPr="009A5CE4">
        <w:rPr>
          <w:i/>
          <w:lang w:val="fr-FR" w:eastAsia="en-GB"/>
        </w:rPr>
        <w:t>Cocchiarella</w:t>
      </w:r>
      <w:r w:rsidR="00BF217E" w:rsidRPr="009A5CE4">
        <w:rPr>
          <w:lang w:val="fr-FR" w:eastAsia="en-GB"/>
        </w:rPr>
        <w:t>,</w:t>
      </w:r>
      <w:r w:rsidRPr="009A5CE4">
        <w:rPr>
          <w:i/>
          <w:lang w:val="fr-FR" w:eastAsia="en-GB"/>
        </w:rPr>
        <w:t xml:space="preserve"> </w:t>
      </w:r>
      <w:r w:rsidR="00041F0C" w:rsidRPr="009A5CE4">
        <w:rPr>
          <w:lang w:val="fr-FR" w:eastAsia="en-GB"/>
        </w:rPr>
        <w:t>précité, § 89).</w:t>
      </w:r>
    </w:p>
    <w:p w:rsidR="00D2115A" w:rsidRPr="00A96A86" w:rsidRDefault="00D2115A" w:rsidP="00D2115A">
      <w:pPr>
        <w:pStyle w:val="ECHRPara"/>
        <w:rPr>
          <w:lang w:val="fr-FR" w:eastAsia="en-GB"/>
        </w:rPr>
      </w:pPr>
      <w:r w:rsidRPr="0094209D">
        <w:rPr>
          <w:lang w:eastAsia="en-GB"/>
        </w:rPr>
        <w:fldChar w:fldCharType="begin"/>
      </w:r>
      <w:r w:rsidRPr="00A96A86">
        <w:rPr>
          <w:lang w:val="fr-FR" w:eastAsia="en-GB"/>
        </w:rPr>
        <w:instrText xml:space="preserve"> SEQ level0 \*arabic </w:instrText>
      </w:r>
      <w:r w:rsidRPr="0094209D">
        <w:rPr>
          <w:lang w:eastAsia="en-GB"/>
        </w:rPr>
        <w:fldChar w:fldCharType="separate"/>
      </w:r>
      <w:r w:rsidR="00E86D85">
        <w:rPr>
          <w:noProof/>
          <w:lang w:val="fr-FR" w:eastAsia="en-GB"/>
        </w:rPr>
        <w:t>19</w:t>
      </w:r>
      <w:r w:rsidRPr="0094209D">
        <w:rPr>
          <w:lang w:eastAsia="en-GB"/>
        </w:rPr>
        <w:fldChar w:fldCharType="end"/>
      </w:r>
      <w:r w:rsidRPr="00A96A86">
        <w:rPr>
          <w:lang w:val="fr-FR" w:eastAsia="en-GB"/>
        </w:rPr>
        <w:t>.  En outre, une autorité de l</w:t>
      </w:r>
      <w:r w:rsidR="00202D50">
        <w:rPr>
          <w:lang w:val="fr-FR" w:eastAsia="en-GB"/>
        </w:rPr>
        <w:t>’</w:t>
      </w:r>
      <w:r w:rsidR="00CD5E14" w:rsidRPr="00A96A86">
        <w:rPr>
          <w:lang w:val="fr-FR" w:eastAsia="en-GB"/>
        </w:rPr>
        <w:t>État</w:t>
      </w:r>
      <w:r w:rsidRPr="00A96A86">
        <w:rPr>
          <w:lang w:val="fr-FR" w:eastAsia="en-GB"/>
        </w:rPr>
        <w:t xml:space="preserve"> ne saurait prétexter du manque de </w:t>
      </w:r>
      <w:r w:rsidRPr="00A96A86">
        <w:rPr>
          <w:lang w:val="fr-FR"/>
        </w:rPr>
        <w:t xml:space="preserve">ressources pour ne pas honorer une dette fondée sur une décision de justice (voir </w:t>
      </w:r>
      <w:r w:rsidRPr="00A96A86">
        <w:rPr>
          <w:i/>
          <w:lang w:val="fr-FR"/>
        </w:rPr>
        <w:t>Cocchiarella</w:t>
      </w:r>
      <w:r w:rsidR="00BF217E" w:rsidRPr="00A96A86">
        <w:rPr>
          <w:lang w:val="fr-FR"/>
        </w:rPr>
        <w:t xml:space="preserve">, </w:t>
      </w:r>
      <w:r w:rsidRPr="00A96A86">
        <w:rPr>
          <w:lang w:val="fr-FR"/>
        </w:rPr>
        <w:t xml:space="preserve">précité, § 90 ; </w:t>
      </w:r>
      <w:r w:rsidRPr="00A96A86">
        <w:rPr>
          <w:i/>
          <w:lang w:val="fr-FR"/>
        </w:rPr>
        <w:t>Bourdov c. Russie</w:t>
      </w:r>
      <w:r w:rsidRPr="00A96A86">
        <w:rPr>
          <w:lang w:val="fr-FR"/>
        </w:rPr>
        <w:t>, n</w:t>
      </w:r>
      <w:r w:rsidRPr="00A96A86">
        <w:rPr>
          <w:vertAlign w:val="superscript"/>
          <w:lang w:val="fr-FR"/>
        </w:rPr>
        <w:t>o</w:t>
      </w:r>
      <w:r w:rsidRPr="00A96A86">
        <w:rPr>
          <w:lang w:val="fr-FR"/>
        </w:rPr>
        <w:t> 59498/00,</w:t>
      </w:r>
      <w:r w:rsidR="00394C18" w:rsidRPr="00A96A86">
        <w:rPr>
          <w:lang w:val="fr-FR"/>
        </w:rPr>
        <w:t> </w:t>
      </w:r>
      <w:r w:rsidRPr="00A96A86">
        <w:rPr>
          <w:lang w:val="fr-FR" w:eastAsia="en-GB"/>
        </w:rPr>
        <w:t>§ 35</w:t>
      </w:r>
      <w:r w:rsidRPr="00A96A86">
        <w:rPr>
          <w:color w:val="000000"/>
          <w:szCs w:val="24"/>
          <w:lang w:val="fr-FR" w:eastAsia="en-GB"/>
        </w:rPr>
        <w:t>, CEDH 2002</w:t>
      </w:r>
      <w:r w:rsidRPr="00A96A86">
        <w:rPr>
          <w:color w:val="000000"/>
          <w:szCs w:val="24"/>
          <w:lang w:val="fr-FR" w:eastAsia="en-GB"/>
        </w:rPr>
        <w:noBreakHyphen/>
        <w:t>III</w:t>
      </w:r>
      <w:r w:rsidRPr="00A96A86">
        <w:rPr>
          <w:lang w:val="fr-FR" w:eastAsia="en-GB"/>
        </w:rPr>
        <w:t xml:space="preserve">). </w:t>
      </w:r>
      <w:r w:rsidRPr="00A96A86">
        <w:rPr>
          <w:lang w:val="fr-FR"/>
        </w:rPr>
        <w:t>La Cour estime, enfin, qu</w:t>
      </w:r>
      <w:r w:rsidR="00202D50">
        <w:rPr>
          <w:lang w:val="fr-FR"/>
        </w:rPr>
        <w:t>’</w:t>
      </w:r>
      <w:r w:rsidRPr="00A96A86">
        <w:rPr>
          <w:lang w:val="fr-FR"/>
        </w:rPr>
        <w:t xml:space="preserve">eu égard à la nature de la voie de recours interne, le versement des intérêts moratoires ne saurait être déterminant (voir, </w:t>
      </w:r>
      <w:r w:rsidRPr="00A96A86">
        <w:rPr>
          <w:i/>
          <w:lang w:val="fr-FR"/>
        </w:rPr>
        <w:t>mutatis mutandis</w:t>
      </w:r>
      <w:r w:rsidRPr="00A96A86">
        <w:rPr>
          <w:lang w:val="fr-FR"/>
        </w:rPr>
        <w:t xml:space="preserve">, </w:t>
      </w:r>
      <w:r w:rsidRPr="00A96A86">
        <w:rPr>
          <w:i/>
          <w:lang w:val="fr-FR"/>
        </w:rPr>
        <w:t>Simaldone c. Italie</w:t>
      </w:r>
      <w:r w:rsidRPr="00A96A86">
        <w:rPr>
          <w:lang w:val="fr-FR"/>
        </w:rPr>
        <w:t xml:space="preserve">, </w:t>
      </w:r>
      <w:r w:rsidR="00BF217E" w:rsidRPr="00A96A86">
        <w:rPr>
          <w:lang w:val="fr-FR"/>
        </w:rPr>
        <w:t>n</w:t>
      </w:r>
      <w:r w:rsidR="00BF217E" w:rsidRPr="00A96A86">
        <w:rPr>
          <w:vertAlign w:val="superscript"/>
          <w:lang w:val="fr-FR"/>
        </w:rPr>
        <w:t>o</w:t>
      </w:r>
      <w:r w:rsidR="00A96A86" w:rsidRPr="00A96A86">
        <w:rPr>
          <w:vertAlign w:val="superscript"/>
          <w:lang w:val="fr-FR"/>
        </w:rPr>
        <w:t xml:space="preserve"> </w:t>
      </w:r>
      <w:r w:rsidR="00BF217E" w:rsidRPr="00A96A86">
        <w:rPr>
          <w:lang w:val="fr-FR"/>
        </w:rPr>
        <w:t>22644/03, 31</w:t>
      </w:r>
      <w:r w:rsidR="00394C18" w:rsidRPr="00A96A86">
        <w:rPr>
          <w:lang w:val="fr-FR"/>
        </w:rPr>
        <w:t> </w:t>
      </w:r>
      <w:r w:rsidR="00BF217E" w:rsidRPr="00A96A86">
        <w:rPr>
          <w:lang w:val="fr-FR"/>
        </w:rPr>
        <w:t>mars</w:t>
      </w:r>
      <w:r w:rsidR="00394C18" w:rsidRPr="00A96A86">
        <w:rPr>
          <w:lang w:val="fr-FR"/>
        </w:rPr>
        <w:t> </w:t>
      </w:r>
      <w:r w:rsidR="00BF217E" w:rsidRPr="00A96A86">
        <w:rPr>
          <w:lang w:val="fr-FR"/>
        </w:rPr>
        <w:t>2009</w:t>
      </w:r>
      <w:r w:rsidRPr="00A96A86">
        <w:rPr>
          <w:lang w:val="fr-FR"/>
        </w:rPr>
        <w:t>, § 63).</w:t>
      </w:r>
    </w:p>
    <w:p w:rsidR="00A96A86" w:rsidRPr="00A96A86" w:rsidRDefault="00E86D85" w:rsidP="00D2115A">
      <w:pPr>
        <w:pStyle w:val="ECHRPara"/>
        <w:rPr>
          <w:color w:val="000000"/>
          <w:szCs w:val="24"/>
          <w:lang w:val="fr-FR" w:eastAsia="en-GB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 w:rsidR="00D2115A" w:rsidRPr="0094209D">
        <w:t>.  </w:t>
      </w:r>
      <w:r w:rsidR="00D2115A" w:rsidRPr="00A96A86">
        <w:rPr>
          <w:lang w:val="fr-FR"/>
        </w:rPr>
        <w:t>En l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 xml:space="preserve">espèce, la Cour constate que le retard dans le versement des sommes </w:t>
      </w:r>
      <w:r w:rsidR="003254C8" w:rsidRPr="00A96A86">
        <w:rPr>
          <w:lang w:val="fr-FR"/>
        </w:rPr>
        <w:t>accordées par les cours d</w:t>
      </w:r>
      <w:r w:rsidR="00202D50">
        <w:rPr>
          <w:lang w:val="fr-FR"/>
        </w:rPr>
        <w:t>’</w:t>
      </w:r>
      <w:r w:rsidR="003254C8" w:rsidRPr="00A96A86">
        <w:rPr>
          <w:lang w:val="fr-FR"/>
        </w:rPr>
        <w:t>appel</w:t>
      </w:r>
      <w:r w:rsidR="00D170D6" w:rsidRPr="00A96A86">
        <w:rPr>
          <w:lang w:val="fr-FR"/>
        </w:rPr>
        <w:t xml:space="preserve"> est compris entre </w:t>
      </w:r>
      <w:r w:rsidR="00754E44" w:rsidRPr="00A96A86">
        <w:rPr>
          <w:lang w:val="fr-FR"/>
        </w:rPr>
        <w:t>19</w:t>
      </w:r>
      <w:r w:rsidR="00D170D6" w:rsidRPr="00A96A86">
        <w:rPr>
          <w:lang w:val="fr-FR"/>
        </w:rPr>
        <w:t xml:space="preserve"> et 2</w:t>
      </w:r>
      <w:r w:rsidR="00D2115A" w:rsidRPr="00A96A86">
        <w:rPr>
          <w:lang w:val="fr-FR"/>
        </w:rPr>
        <w:t>0 mois à compter de la date du dépôt au greffe des décisions Pinto</w:t>
      </w:r>
      <w:r w:rsidR="00D2115A" w:rsidRPr="00A96A86">
        <w:rPr>
          <w:color w:val="000000"/>
          <w:szCs w:val="24"/>
          <w:lang w:val="fr-FR" w:eastAsia="en-GB"/>
        </w:rPr>
        <w:t xml:space="preserve"> (voir le tableau en annexe), donc bien au-delà des six mois prévu par la jurisprudence consolidée de la Cour.</w:t>
      </w:r>
    </w:p>
    <w:p w:rsidR="00D2115A" w:rsidRPr="00A96A86" w:rsidRDefault="00D2115A" w:rsidP="00D2115A">
      <w:pPr>
        <w:pStyle w:val="ECHRPara"/>
        <w:rPr>
          <w:color w:val="000000"/>
          <w:szCs w:val="24"/>
          <w:lang w:val="fr-FR" w:eastAsia="en-GB"/>
        </w:rPr>
      </w:pPr>
      <w:r w:rsidRPr="0094209D">
        <w:rPr>
          <w:color w:val="000000"/>
          <w:szCs w:val="24"/>
          <w:lang w:eastAsia="en-GB"/>
        </w:rPr>
        <w:fldChar w:fldCharType="begin"/>
      </w:r>
      <w:r w:rsidRPr="00A96A86">
        <w:rPr>
          <w:color w:val="000000"/>
          <w:szCs w:val="24"/>
          <w:lang w:val="fr-FR" w:eastAsia="en-GB"/>
        </w:rPr>
        <w:instrText xml:space="preserve"> SEQ level0 \*arabic </w:instrText>
      </w:r>
      <w:r w:rsidRPr="0094209D">
        <w:rPr>
          <w:color w:val="000000"/>
          <w:szCs w:val="24"/>
          <w:lang w:eastAsia="en-GB"/>
        </w:rPr>
        <w:fldChar w:fldCharType="separate"/>
      </w:r>
      <w:r w:rsidR="00E86D85">
        <w:rPr>
          <w:noProof/>
          <w:color w:val="000000"/>
          <w:szCs w:val="24"/>
          <w:lang w:val="fr-FR" w:eastAsia="en-GB"/>
        </w:rPr>
        <w:t>21</w:t>
      </w:r>
      <w:r w:rsidRPr="0094209D">
        <w:rPr>
          <w:color w:val="000000"/>
          <w:szCs w:val="24"/>
          <w:lang w:eastAsia="en-GB"/>
        </w:rPr>
        <w:fldChar w:fldCharType="end"/>
      </w:r>
      <w:r w:rsidRPr="00A96A86">
        <w:rPr>
          <w:color w:val="000000"/>
          <w:szCs w:val="24"/>
          <w:lang w:val="fr-FR" w:eastAsia="en-GB"/>
        </w:rPr>
        <w:t>.  Il y a eu, partant, violation du droit des requérants à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>exécution des décisions judiciaires garanti par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>article 6 § 1 de la Convention.</w:t>
      </w:r>
    </w:p>
    <w:p w:rsidR="00D2115A" w:rsidRPr="00A96A86" w:rsidRDefault="00D2115A" w:rsidP="00D2115A">
      <w:pPr>
        <w:pStyle w:val="ECHRPara"/>
        <w:rPr>
          <w:i/>
          <w:szCs w:val="24"/>
          <w:lang w:val="fr-FR"/>
        </w:rPr>
      </w:pPr>
      <w:r w:rsidRPr="0094209D">
        <w:rPr>
          <w:color w:val="000000"/>
          <w:szCs w:val="24"/>
          <w:lang w:eastAsia="en-GB"/>
        </w:rPr>
        <w:fldChar w:fldCharType="begin"/>
      </w:r>
      <w:r w:rsidRPr="0094209D">
        <w:rPr>
          <w:color w:val="000000"/>
          <w:szCs w:val="24"/>
          <w:lang w:eastAsia="en-GB"/>
        </w:rPr>
        <w:instrText xml:space="preserve"> SEQ level0 \*arabic </w:instrText>
      </w:r>
      <w:r w:rsidRPr="0094209D">
        <w:rPr>
          <w:color w:val="000000"/>
          <w:szCs w:val="24"/>
          <w:lang w:eastAsia="en-GB"/>
        </w:rPr>
        <w:fldChar w:fldCharType="separate"/>
      </w:r>
      <w:r w:rsidR="00E86D85">
        <w:rPr>
          <w:noProof/>
          <w:color w:val="000000"/>
          <w:szCs w:val="24"/>
          <w:lang w:eastAsia="en-GB"/>
        </w:rPr>
        <w:t>22</w:t>
      </w:r>
      <w:r w:rsidRPr="0094209D">
        <w:rPr>
          <w:color w:val="000000"/>
          <w:szCs w:val="24"/>
          <w:lang w:eastAsia="en-GB"/>
        </w:rPr>
        <w:fldChar w:fldCharType="end"/>
      </w:r>
      <w:r w:rsidRPr="0094209D">
        <w:rPr>
          <w:color w:val="000000"/>
          <w:szCs w:val="24"/>
          <w:lang w:eastAsia="en-GB"/>
        </w:rPr>
        <w:t>.  </w:t>
      </w:r>
      <w:r w:rsidRPr="00A96A86">
        <w:rPr>
          <w:color w:val="000000"/>
          <w:szCs w:val="24"/>
          <w:lang w:val="fr-FR" w:eastAsia="en-GB"/>
        </w:rPr>
        <w:t>Compte tenu des motifs pour lesquels elle a conclu à la violation de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>article 6, et à la lumière de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>approche adoptée par la Cour dans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 xml:space="preserve">affaire </w:t>
      </w:r>
      <w:r w:rsidRPr="00A96A86">
        <w:rPr>
          <w:i/>
          <w:iCs/>
          <w:color w:val="000000"/>
          <w:szCs w:val="24"/>
          <w:lang w:val="fr-FR" w:eastAsia="en-GB"/>
        </w:rPr>
        <w:t>Simaldone</w:t>
      </w:r>
      <w:r w:rsidR="00455FA9" w:rsidRPr="00A96A86">
        <w:rPr>
          <w:iCs/>
          <w:color w:val="000000"/>
          <w:szCs w:val="24"/>
          <w:lang w:val="fr-FR" w:eastAsia="en-GB"/>
        </w:rPr>
        <w:t>,</w:t>
      </w:r>
      <w:r w:rsidRPr="00A96A86">
        <w:rPr>
          <w:i/>
          <w:iCs/>
          <w:color w:val="000000"/>
          <w:szCs w:val="24"/>
          <w:lang w:val="fr-FR" w:eastAsia="en-GB"/>
        </w:rPr>
        <w:t xml:space="preserve"> </w:t>
      </w:r>
      <w:r w:rsidR="00BF217E" w:rsidRPr="00A96A86">
        <w:rPr>
          <w:lang w:val="fr-FR"/>
        </w:rPr>
        <w:t>précité</w:t>
      </w:r>
      <w:r w:rsidRPr="00A96A86">
        <w:rPr>
          <w:color w:val="000000"/>
          <w:szCs w:val="24"/>
          <w:lang w:val="fr-FR" w:eastAsia="en-GB"/>
        </w:rPr>
        <w:t>, la Cour estime qu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>en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 xml:space="preserve">espèce, il y a eu </w:t>
      </w:r>
      <w:r w:rsidR="00530156" w:rsidRPr="00A96A86">
        <w:rPr>
          <w:color w:val="000000"/>
          <w:szCs w:val="24"/>
          <w:lang w:val="fr-FR" w:eastAsia="en-GB"/>
        </w:rPr>
        <w:t xml:space="preserve">également </w:t>
      </w:r>
      <w:r w:rsidRPr="00A96A86">
        <w:rPr>
          <w:color w:val="000000"/>
          <w:szCs w:val="24"/>
          <w:lang w:val="fr-FR" w:eastAsia="en-GB"/>
        </w:rPr>
        <w:t>violation de l</w:t>
      </w:r>
      <w:r w:rsidR="00202D50">
        <w:rPr>
          <w:color w:val="000000"/>
          <w:szCs w:val="24"/>
          <w:lang w:val="fr-FR" w:eastAsia="en-GB"/>
        </w:rPr>
        <w:t>’</w:t>
      </w:r>
      <w:r w:rsidRPr="00A96A86">
        <w:rPr>
          <w:color w:val="000000"/>
          <w:szCs w:val="24"/>
          <w:lang w:val="fr-FR" w:eastAsia="en-GB"/>
        </w:rPr>
        <w:t>article 1 du Protocole n</w:t>
      </w:r>
      <w:r w:rsidR="00EE125E" w:rsidRPr="00A96A86">
        <w:rPr>
          <w:color w:val="000000"/>
          <w:szCs w:val="24"/>
          <w:vertAlign w:val="superscript"/>
          <w:lang w:val="fr-FR" w:eastAsia="en-GB"/>
        </w:rPr>
        <w:t>o</w:t>
      </w:r>
      <w:r w:rsidRPr="00A96A86">
        <w:rPr>
          <w:color w:val="000000"/>
          <w:szCs w:val="24"/>
          <w:lang w:val="fr-FR" w:eastAsia="en-GB"/>
        </w:rPr>
        <w:t xml:space="preserve"> 1.</w:t>
      </w:r>
    </w:p>
    <w:p w:rsidR="00D2115A" w:rsidRPr="00A96A86" w:rsidRDefault="003254C8" w:rsidP="00D2115A">
      <w:pPr>
        <w:pStyle w:val="ECHRHeading1"/>
        <w:rPr>
          <w:rStyle w:val="JuHIRomanChar1"/>
          <w:lang w:val="fr-FR"/>
        </w:rPr>
      </w:pPr>
      <w:r w:rsidRPr="0094209D">
        <w:rPr>
          <w:rStyle w:val="JuHIRomanChar1"/>
        </w:rPr>
        <w:t>III</w:t>
      </w:r>
      <w:r w:rsidR="00D2115A" w:rsidRPr="0094209D">
        <w:rPr>
          <w:rStyle w:val="JuHIRomanChar1"/>
        </w:rPr>
        <w:t>.  </w:t>
      </w:r>
      <w:r w:rsidR="00D2115A" w:rsidRPr="00A96A86">
        <w:rPr>
          <w:rStyle w:val="JuHIRomanChar1"/>
          <w:lang w:val="fr-FR"/>
        </w:rPr>
        <w:t>SUR L</w:t>
      </w:r>
      <w:r w:rsidR="00202D50">
        <w:rPr>
          <w:rStyle w:val="JuHIRomanChar1"/>
          <w:lang w:val="fr-FR"/>
        </w:rPr>
        <w:t>’</w:t>
      </w:r>
      <w:r w:rsidR="00D2115A" w:rsidRPr="00A96A86">
        <w:rPr>
          <w:rStyle w:val="JuHIRomanChar1"/>
          <w:lang w:val="fr-FR"/>
        </w:rPr>
        <w:t>APPLICATION DE L</w:t>
      </w:r>
      <w:r w:rsidR="00202D50">
        <w:rPr>
          <w:rStyle w:val="JuHIRomanChar1"/>
          <w:lang w:val="fr-FR"/>
        </w:rPr>
        <w:t>’</w:t>
      </w:r>
      <w:r w:rsidR="00D2115A" w:rsidRPr="00A96A86">
        <w:rPr>
          <w:rStyle w:val="JuHIRomanChar1"/>
          <w:lang w:val="fr-FR"/>
        </w:rPr>
        <w:t>ARTICLE 41 DE LA CONVENTION</w:t>
      </w:r>
    </w:p>
    <w:p w:rsidR="00D2115A" w:rsidRPr="00A96A86" w:rsidRDefault="00E86D85" w:rsidP="009A5CE4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23</w:t>
      </w:r>
      <w:r>
        <w:fldChar w:fldCharType="end"/>
      </w:r>
      <w:r w:rsidR="00D2115A" w:rsidRPr="009A5CE4">
        <w:t>.  </w:t>
      </w:r>
      <w:r w:rsidR="00D2115A" w:rsidRPr="00A96A86">
        <w:rPr>
          <w:lang w:val="fr-FR"/>
        </w:rPr>
        <w:t>Aux termes de l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>article 41 de la Convention,</w:t>
      </w:r>
    </w:p>
    <w:p w:rsidR="00D2115A" w:rsidRPr="00A96A86" w:rsidRDefault="00D2115A" w:rsidP="00C43AE8">
      <w:pPr>
        <w:pStyle w:val="ECHRParaQuote"/>
        <w:keepNext/>
        <w:keepLines/>
        <w:rPr>
          <w:lang w:val="fr-FR"/>
        </w:rPr>
      </w:pPr>
      <w:r w:rsidRPr="00A96A86">
        <w:rPr>
          <w:lang w:val="fr-FR"/>
        </w:rPr>
        <w:t>« Si la Cour déclare qu</w:t>
      </w:r>
      <w:r w:rsidR="00202D50">
        <w:rPr>
          <w:lang w:val="fr-FR"/>
        </w:rPr>
        <w:t>’</w:t>
      </w:r>
      <w:r w:rsidRPr="00A96A86">
        <w:rPr>
          <w:lang w:val="fr-FR"/>
        </w:rPr>
        <w:t>il y a eu violation de la Convention ou de ses Protocoles, et si le droit interne de la Haute Partie contractante ne permet d</w:t>
      </w:r>
      <w:r w:rsidR="00202D50">
        <w:rPr>
          <w:lang w:val="fr-FR"/>
        </w:rPr>
        <w:t>’</w:t>
      </w:r>
      <w:r w:rsidRPr="00A96A86">
        <w:rPr>
          <w:lang w:val="fr-FR"/>
        </w:rPr>
        <w:t>effacer qu</w:t>
      </w:r>
      <w:r w:rsidR="00202D50">
        <w:rPr>
          <w:lang w:val="fr-FR"/>
        </w:rPr>
        <w:t>’</w:t>
      </w:r>
      <w:r w:rsidRPr="00A96A86">
        <w:rPr>
          <w:lang w:val="fr-FR"/>
        </w:rPr>
        <w:t>imparfaitement les conséquences de cette violation, la Cour accorde à la partie lésée, s</w:t>
      </w:r>
      <w:r w:rsidR="00202D50">
        <w:rPr>
          <w:lang w:val="fr-FR"/>
        </w:rPr>
        <w:t>’</w:t>
      </w:r>
      <w:r w:rsidRPr="00A96A86">
        <w:rPr>
          <w:lang w:val="fr-FR"/>
        </w:rPr>
        <w:t>il y a lieu, une satisfaction équitable. »</w:t>
      </w:r>
    </w:p>
    <w:p w:rsidR="00D2115A" w:rsidRPr="009A5CE4" w:rsidRDefault="00D2115A" w:rsidP="009A5CE4">
      <w:pPr>
        <w:pStyle w:val="ECHRHeading2"/>
      </w:pPr>
      <w:r w:rsidRPr="009A5CE4">
        <w:t>A.  Dommage</w:t>
      </w:r>
    </w:p>
    <w:bookmarkStart w:id="3" w:name="OLE_LINK1"/>
    <w:bookmarkStart w:id="4" w:name="OLE_LINK2"/>
    <w:p w:rsidR="007D1D09" w:rsidRPr="00A96A86" w:rsidRDefault="00D2115A" w:rsidP="007D1D09">
      <w:pPr>
        <w:pStyle w:val="ECHRPara"/>
        <w:rPr>
          <w:lang w:val="fr-FR"/>
        </w:rPr>
      </w:pPr>
      <w:r w:rsidRPr="0094209D">
        <w:fldChar w:fldCharType="begin"/>
      </w:r>
      <w:r w:rsidRPr="0094209D">
        <w:instrText xml:space="preserve"> SEQ level0 \*arabic </w:instrText>
      </w:r>
      <w:r w:rsidRPr="0094209D">
        <w:fldChar w:fldCharType="separate"/>
      </w:r>
      <w:r w:rsidR="00E86D85">
        <w:rPr>
          <w:noProof/>
        </w:rPr>
        <w:t>24</w:t>
      </w:r>
      <w:r w:rsidRPr="0094209D">
        <w:fldChar w:fldCharType="end"/>
      </w:r>
      <w:r w:rsidRPr="0094209D">
        <w:t>. </w:t>
      </w:r>
      <w:r w:rsidR="00514BE6">
        <w:t> </w:t>
      </w:r>
      <w:r w:rsidR="007D1D09" w:rsidRPr="00A96A86">
        <w:rPr>
          <w:lang w:val="fr-FR"/>
        </w:rPr>
        <w:t>Sans chiffrer leurs prétentions, les requérants se remettent à la sagesse de la Cour pour la réparation du préjudice moral qu</w:t>
      </w:r>
      <w:r w:rsidR="00202D50">
        <w:rPr>
          <w:lang w:val="fr-FR"/>
        </w:rPr>
        <w:t>’</w:t>
      </w:r>
      <w:r w:rsidR="008C78C9" w:rsidRPr="00A96A86">
        <w:rPr>
          <w:lang w:val="fr-FR"/>
        </w:rPr>
        <w:t>ils</w:t>
      </w:r>
      <w:r w:rsidR="007D1D09" w:rsidRPr="00A96A86">
        <w:rPr>
          <w:lang w:val="fr-FR"/>
        </w:rPr>
        <w:t xml:space="preserve"> estiment avoir subi.</w:t>
      </w:r>
    </w:p>
    <w:p w:rsidR="007D1D09" w:rsidRPr="00A96A86" w:rsidRDefault="00E86D85" w:rsidP="007D1D09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 w:rsidR="007D1D09" w:rsidRPr="0094209D">
        <w:t>.  </w:t>
      </w:r>
      <w:r w:rsidR="007D1D09" w:rsidRPr="00A96A86">
        <w:rPr>
          <w:lang w:val="fr-FR"/>
        </w:rPr>
        <w:t xml:space="preserve">Le Gouvernement estime que la Cour ne devrait rien octroyer, </w:t>
      </w:r>
      <w:r w:rsidR="007D1D09" w:rsidRPr="00A96A86">
        <w:rPr>
          <w:color w:val="000000"/>
          <w:lang w:val="fr-FR"/>
        </w:rPr>
        <w:t>les requérants n</w:t>
      </w:r>
      <w:r w:rsidR="00202D50">
        <w:rPr>
          <w:color w:val="000000"/>
          <w:lang w:val="fr-FR"/>
        </w:rPr>
        <w:t>’</w:t>
      </w:r>
      <w:r w:rsidR="007D1D09" w:rsidRPr="00A96A86">
        <w:rPr>
          <w:color w:val="000000"/>
          <w:lang w:val="fr-FR"/>
        </w:rPr>
        <w:t>ayant subi, du fait de la longueur des procédures, aucun préjudice autre que c</w:t>
      </w:r>
      <w:r w:rsidR="00EF6DA3" w:rsidRPr="00A96A86">
        <w:rPr>
          <w:color w:val="000000"/>
          <w:lang w:val="fr-FR"/>
        </w:rPr>
        <w:t>elui déjà reconnu et indemnisé au</w:t>
      </w:r>
      <w:r w:rsidR="007D1D09" w:rsidRPr="00A96A86">
        <w:rPr>
          <w:color w:val="000000"/>
          <w:lang w:val="fr-FR"/>
        </w:rPr>
        <w:t xml:space="preserve"> niveau interne. En tout état de cause, il est de l</w:t>
      </w:r>
      <w:r w:rsidR="00202D50">
        <w:rPr>
          <w:color w:val="000000"/>
          <w:lang w:val="fr-FR"/>
        </w:rPr>
        <w:t>’</w:t>
      </w:r>
      <w:r w:rsidR="007D1D09" w:rsidRPr="00A96A86">
        <w:rPr>
          <w:color w:val="000000"/>
          <w:lang w:val="fr-FR"/>
        </w:rPr>
        <w:t>avis que le simple constat de violation fournirait en soi une satisfaction équitable suffisante</w:t>
      </w:r>
      <w:r w:rsidR="007D1D09" w:rsidRPr="00A96A86">
        <w:rPr>
          <w:lang w:val="fr-FR"/>
        </w:rPr>
        <w:t>.</w:t>
      </w:r>
    </w:p>
    <w:p w:rsidR="00D2115A" w:rsidRPr="00A96A86" w:rsidRDefault="00E86D85" w:rsidP="00D2115A">
      <w:pPr>
        <w:pStyle w:val="ECHRPara"/>
        <w:rPr>
          <w:i/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r w:rsidR="00D2115A" w:rsidRPr="0094209D">
        <w:t>.  </w:t>
      </w:r>
      <w:r w:rsidR="00D2115A" w:rsidRPr="00A96A86">
        <w:rPr>
          <w:lang w:val="fr-FR"/>
        </w:rPr>
        <w:t>Compte tenu de</w:t>
      </w:r>
      <w:r w:rsidR="001125EC" w:rsidRPr="00A96A86">
        <w:rPr>
          <w:lang w:val="fr-FR"/>
        </w:rPr>
        <w:t xml:space="preserve">s griefs </w:t>
      </w:r>
      <w:r w:rsidR="00B229F7" w:rsidRPr="00A96A86">
        <w:rPr>
          <w:lang w:val="fr-FR"/>
        </w:rPr>
        <w:t xml:space="preserve">déclarés </w:t>
      </w:r>
      <w:r w:rsidR="001125EC" w:rsidRPr="00A96A86">
        <w:rPr>
          <w:lang w:val="fr-FR"/>
        </w:rPr>
        <w:t>irrecevables</w:t>
      </w:r>
      <w:r w:rsidR="00B229F7" w:rsidRPr="00A96A86">
        <w:rPr>
          <w:lang w:val="fr-FR"/>
        </w:rPr>
        <w:t xml:space="preserve"> </w:t>
      </w:r>
      <w:r w:rsidR="001125EC" w:rsidRPr="00A96A86">
        <w:rPr>
          <w:lang w:val="fr-FR"/>
        </w:rPr>
        <w:t>(voir § 12</w:t>
      </w:r>
      <w:r w:rsidR="00B229F7" w:rsidRPr="00A96A86">
        <w:rPr>
          <w:lang w:val="fr-FR"/>
        </w:rPr>
        <w:t xml:space="preserve"> ci-dessus</w:t>
      </w:r>
      <w:r w:rsidR="001125EC" w:rsidRPr="00A96A86">
        <w:rPr>
          <w:lang w:val="fr-FR"/>
        </w:rPr>
        <w:t>) ainsi que de</w:t>
      </w:r>
      <w:r w:rsidR="00D2115A" w:rsidRPr="00A96A86">
        <w:rPr>
          <w:lang w:val="fr-FR"/>
        </w:rPr>
        <w:t xml:space="preserve"> la solution adoptée dans l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 xml:space="preserve">arrêt </w:t>
      </w:r>
      <w:r w:rsidR="00D2115A" w:rsidRPr="00A96A86">
        <w:rPr>
          <w:i/>
          <w:lang w:val="fr-FR"/>
        </w:rPr>
        <w:t xml:space="preserve">Cocchiarella </w:t>
      </w:r>
      <w:r w:rsidR="006C766E" w:rsidRPr="00A96A86">
        <w:rPr>
          <w:lang w:val="fr-FR"/>
        </w:rPr>
        <w:t>(précité, §§ 139</w:t>
      </w:r>
      <w:r w:rsidR="006C766E" w:rsidRPr="00A96A86">
        <w:rPr>
          <w:lang w:val="fr-FR"/>
        </w:rPr>
        <w:noBreakHyphen/>
      </w:r>
      <w:r w:rsidR="00D2115A" w:rsidRPr="00A96A86">
        <w:rPr>
          <w:lang w:val="fr-FR"/>
        </w:rPr>
        <w:t xml:space="preserve">142 et 146) </w:t>
      </w:r>
      <w:r w:rsidR="00D2115A" w:rsidRPr="00A96A86">
        <w:rPr>
          <w:snapToGrid w:val="0"/>
          <w:szCs w:val="24"/>
          <w:lang w:val="fr-FR"/>
        </w:rPr>
        <w:t xml:space="preserve">et </w:t>
      </w:r>
      <w:r w:rsidR="00D2115A" w:rsidRPr="00A96A86">
        <w:rPr>
          <w:lang w:val="fr-FR"/>
        </w:rPr>
        <w:t>statuant en équité, la Cour alloue aux requérants les sommes indiqu</w:t>
      </w:r>
      <w:r w:rsidR="0088632C" w:rsidRPr="00A96A86">
        <w:rPr>
          <w:lang w:val="fr-FR"/>
        </w:rPr>
        <w:t>ées dans le tableau ci-dessous</w:t>
      </w:r>
      <w:r w:rsidR="00D2115A" w:rsidRPr="00A96A86">
        <w:rPr>
          <w:lang w:val="fr-FR"/>
        </w:rPr>
        <w:t xml:space="preserve"> au vu de l</w:t>
      </w:r>
      <w:r w:rsidR="00202D50">
        <w:rPr>
          <w:lang w:val="fr-FR"/>
        </w:rPr>
        <w:t>’</w:t>
      </w:r>
      <w:r w:rsidR="00D2115A" w:rsidRPr="00A96A86">
        <w:rPr>
          <w:lang w:val="fr-FR"/>
        </w:rPr>
        <w:t>objet de chaque litige</w:t>
      </w:r>
      <w:r w:rsidR="00767C0A" w:rsidRPr="00A96A86">
        <w:rPr>
          <w:lang w:val="fr-FR"/>
        </w:rPr>
        <w:t xml:space="preserve"> et de l</w:t>
      </w:r>
      <w:r w:rsidR="00202D50">
        <w:rPr>
          <w:lang w:val="fr-FR"/>
        </w:rPr>
        <w:t>’</w:t>
      </w:r>
      <w:r w:rsidR="00767C0A" w:rsidRPr="00A96A86">
        <w:rPr>
          <w:lang w:val="fr-FR"/>
        </w:rPr>
        <w:t>enjeu des procédures</w:t>
      </w:r>
      <w:r w:rsidR="008C78C9" w:rsidRPr="00A96A86">
        <w:rPr>
          <w:lang w:val="fr-FR"/>
        </w:rPr>
        <w:t>.</w:t>
      </w:r>
    </w:p>
    <w:p w:rsidR="006C766E" w:rsidRPr="00A96A86" w:rsidRDefault="006C766E" w:rsidP="009A5CE4">
      <w:pPr>
        <w:pStyle w:val="ECHRPara"/>
        <w:ind w:firstLine="0"/>
        <w:rPr>
          <w:lang w:val="fr-FR"/>
        </w:rPr>
      </w:pPr>
    </w:p>
    <w:bookmarkEnd w:id="3"/>
    <w:bookmarkEnd w:id="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44"/>
        <w:gridCol w:w="4914"/>
      </w:tblGrid>
      <w:tr w:rsidR="006A0EB2" w:rsidRPr="0094209D" w:rsidTr="006A0EB2">
        <w:trPr>
          <w:cantSplit/>
          <w:jc w:val="center"/>
        </w:trPr>
        <w:tc>
          <w:tcPr>
            <w:tcW w:w="539" w:type="pct"/>
            <w:shd w:val="clear" w:color="auto" w:fill="auto"/>
          </w:tcPr>
          <w:p w:rsidR="006A0EB2" w:rsidRPr="00A96A86" w:rsidRDefault="006A0EB2" w:rsidP="006A0EB2">
            <w:pPr>
              <w:pStyle w:val="ECHRPara"/>
              <w:ind w:firstLine="0"/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</w:tcPr>
          <w:p w:rsidR="006A0EB2" w:rsidRPr="00A96A86" w:rsidRDefault="006A0EB2" w:rsidP="006A0EB2">
            <w:pPr>
              <w:pStyle w:val="ECHRPara"/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6A0EB2" w:rsidRPr="0094209D" w:rsidRDefault="006A0EB2" w:rsidP="00AA6E0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N</w:t>
            </w:r>
            <w:r w:rsidRPr="0094209D">
              <w:rPr>
                <w:b/>
                <w:sz w:val="22"/>
                <w:vertAlign w:val="superscript"/>
              </w:rPr>
              <w:t>o</w:t>
            </w:r>
            <w:r w:rsidRPr="0094209D">
              <w:rPr>
                <w:b/>
                <w:sz w:val="22"/>
              </w:rPr>
              <w:t> requête</w:t>
            </w:r>
          </w:p>
        </w:tc>
        <w:tc>
          <w:tcPr>
            <w:tcW w:w="3244" w:type="pct"/>
            <w:shd w:val="clear" w:color="auto" w:fill="auto"/>
          </w:tcPr>
          <w:p w:rsidR="006A0EB2" w:rsidRPr="0094209D" w:rsidRDefault="006A0EB2" w:rsidP="006A0EB2">
            <w:pPr>
              <w:pStyle w:val="ECHRPara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6A0EB2" w:rsidRDefault="006A0EB2" w:rsidP="006A0EB2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Somme accordée pour dommage moral</w:t>
            </w:r>
          </w:p>
          <w:p w:rsidR="00C803EF" w:rsidRPr="0094209D" w:rsidRDefault="00C803EF" w:rsidP="006A0EB2">
            <w:pPr>
              <w:pStyle w:val="ECHRPara"/>
              <w:ind w:firstLine="0"/>
              <w:jc w:val="center"/>
              <w:rPr>
                <w:b/>
                <w:sz w:val="22"/>
              </w:rPr>
            </w:pP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94209D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color w:val="000000"/>
                <w:sz w:val="22"/>
              </w:rPr>
              <w:t>17760/03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sz w:val="22"/>
              </w:rPr>
              <w:t>17761/03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jc w:val="center"/>
              <w:rPr>
                <w:b/>
                <w:sz w:val="22"/>
              </w:rPr>
            </w:pPr>
            <w:r w:rsidRPr="0094209D">
              <w:rPr>
                <w:sz w:val="22"/>
              </w:rPr>
              <w:t>19903</w:t>
            </w:r>
            <w:r w:rsidRPr="0094209D">
              <w:rPr>
                <w:sz w:val="22"/>
                <w:lang w:val="it-IT"/>
              </w:rPr>
              <w:t>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94209D">
              <w:rPr>
                <w:color w:val="000000"/>
                <w:sz w:val="22"/>
              </w:rPr>
              <w:t>6 0</w:t>
            </w:r>
            <w:r>
              <w:rPr>
                <w:color w:val="000000"/>
                <w:sz w:val="22"/>
              </w:rPr>
              <w:t>0</w:t>
            </w:r>
            <w:r w:rsidRPr="0094209D">
              <w:rPr>
                <w:color w:val="000000"/>
                <w:sz w:val="22"/>
              </w:rPr>
              <w:t>0 EUR</w:t>
            </w:r>
          </w:p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+ 200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keepNext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keepNext/>
              <w:jc w:val="center"/>
            </w:pPr>
            <w:r w:rsidRPr="0094209D">
              <w:rPr>
                <w:sz w:val="22"/>
              </w:rPr>
              <w:t>19905/03</w:t>
            </w:r>
          </w:p>
          <w:p w:rsidR="006A0EB2" w:rsidRPr="0094209D" w:rsidRDefault="006A0EB2" w:rsidP="00041F0C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keepNext/>
              <w:ind w:firstLine="0"/>
              <w:jc w:val="center"/>
              <w:rPr>
                <w:color w:val="000000"/>
                <w:sz w:val="22"/>
              </w:rPr>
            </w:pPr>
            <w:r w:rsidRPr="0094209D">
              <w:rPr>
                <w:color w:val="000000"/>
                <w:sz w:val="22"/>
              </w:rPr>
              <w:t xml:space="preserve">2 </w:t>
            </w:r>
            <w:r>
              <w:rPr>
                <w:color w:val="000000"/>
                <w:sz w:val="22"/>
              </w:rPr>
              <w:t>60</w:t>
            </w:r>
            <w:r w:rsidRPr="0094209D">
              <w:rPr>
                <w:color w:val="000000"/>
                <w:sz w:val="22"/>
              </w:rPr>
              <w:t>0 EUR</w:t>
            </w:r>
          </w:p>
          <w:p w:rsidR="006A0EB2" w:rsidRPr="00A96A86" w:rsidRDefault="006A0EB2" w:rsidP="00041F0C">
            <w:pPr>
              <w:pStyle w:val="ECHRPara"/>
              <w:keepNext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+ 200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jc w:val="center"/>
              <w:rPr>
                <w:b/>
                <w:sz w:val="22"/>
              </w:rPr>
            </w:pPr>
            <w:r w:rsidRPr="0094209D">
              <w:rPr>
                <w:sz w:val="22"/>
              </w:rPr>
              <w:t>19908/03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94209D">
              <w:rPr>
                <w:color w:val="000000"/>
                <w:sz w:val="22"/>
              </w:rPr>
              <w:t xml:space="preserve">3 </w:t>
            </w:r>
            <w:r>
              <w:rPr>
                <w:color w:val="000000"/>
                <w:sz w:val="22"/>
              </w:rPr>
              <w:t>60</w:t>
            </w:r>
            <w:r w:rsidRPr="0094209D">
              <w:rPr>
                <w:color w:val="000000"/>
                <w:sz w:val="22"/>
              </w:rPr>
              <w:t>0 EUR</w:t>
            </w:r>
          </w:p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+ 200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jc w:val="center"/>
              <w:rPr>
                <w:b/>
                <w:sz w:val="22"/>
              </w:rPr>
            </w:pPr>
            <w:r w:rsidRPr="0094209D">
              <w:rPr>
                <w:sz w:val="22"/>
              </w:rPr>
              <w:t>19911/03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94209D">
              <w:rPr>
                <w:color w:val="000000"/>
                <w:sz w:val="22"/>
              </w:rPr>
              <w:t>4 6</w:t>
            </w:r>
            <w:r>
              <w:rPr>
                <w:color w:val="000000"/>
                <w:sz w:val="22"/>
              </w:rPr>
              <w:t>0</w:t>
            </w:r>
            <w:r w:rsidRPr="0094209D">
              <w:rPr>
                <w:color w:val="000000"/>
                <w:sz w:val="22"/>
              </w:rPr>
              <w:t>0 EUR</w:t>
            </w:r>
          </w:p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+ 200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jc w:val="center"/>
              <w:rPr>
                <w:b/>
                <w:sz w:val="22"/>
              </w:rPr>
            </w:pPr>
            <w:r w:rsidRPr="0094209D">
              <w:rPr>
                <w:sz w:val="22"/>
              </w:rPr>
              <w:t>19915</w:t>
            </w:r>
            <w:r w:rsidRPr="0094209D">
              <w:rPr>
                <w:sz w:val="22"/>
                <w:lang w:val="it-IT"/>
              </w:rPr>
              <w:t>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94209D">
              <w:rPr>
                <w:color w:val="000000"/>
                <w:sz w:val="22"/>
              </w:rPr>
              <w:t>10 5</w:t>
            </w:r>
            <w:r>
              <w:rPr>
                <w:color w:val="000000"/>
                <w:sz w:val="22"/>
              </w:rPr>
              <w:t>0</w:t>
            </w:r>
            <w:r w:rsidRPr="0094209D">
              <w:rPr>
                <w:color w:val="000000"/>
                <w:sz w:val="22"/>
              </w:rPr>
              <w:t>0 EUR</w:t>
            </w:r>
          </w:p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+ 200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  <w:tr w:rsidR="006A0EB2" w:rsidRPr="00A96A86" w:rsidTr="00041F0C">
        <w:trPr>
          <w:cantSplit/>
          <w:trHeight w:val="759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6A0EB2" w:rsidRPr="00A96A86" w:rsidRDefault="006A0EB2" w:rsidP="00202D50">
            <w:pPr>
              <w:pStyle w:val="ECHRPara"/>
              <w:numPr>
                <w:ilvl w:val="0"/>
                <w:numId w:val="12"/>
              </w:numPr>
              <w:tabs>
                <w:tab w:val="center" w:pos="255"/>
              </w:tabs>
              <w:suppressAutoHyphens/>
              <w:jc w:val="left"/>
              <w:rPr>
                <w:sz w:val="22"/>
                <w:lang w:val="fr-FR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6A0EB2" w:rsidRPr="0094209D" w:rsidRDefault="006A0EB2" w:rsidP="00041F0C">
            <w:pPr>
              <w:jc w:val="center"/>
            </w:pPr>
            <w:r w:rsidRPr="0094209D">
              <w:rPr>
                <w:sz w:val="22"/>
              </w:rPr>
              <w:t>20114/03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6A0EB2" w:rsidRPr="0094209D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94209D">
              <w:rPr>
                <w:color w:val="000000"/>
                <w:sz w:val="22"/>
              </w:rPr>
              <w:t>1 9</w:t>
            </w:r>
            <w:r>
              <w:rPr>
                <w:color w:val="000000"/>
                <w:sz w:val="22"/>
              </w:rPr>
              <w:t>00</w:t>
            </w:r>
            <w:r w:rsidRPr="0094209D">
              <w:rPr>
                <w:color w:val="000000"/>
                <w:sz w:val="22"/>
              </w:rPr>
              <w:t xml:space="preserve"> EUR</w:t>
            </w:r>
          </w:p>
          <w:p w:rsidR="006A0EB2" w:rsidRPr="00A96A86" w:rsidRDefault="006A0EB2" w:rsidP="00041F0C">
            <w:pPr>
              <w:pStyle w:val="ECHRPara"/>
              <w:ind w:firstLine="0"/>
              <w:jc w:val="center"/>
              <w:rPr>
                <w:color w:val="000000"/>
                <w:sz w:val="22"/>
                <w:lang w:val="fr-FR"/>
              </w:rPr>
            </w:pPr>
            <w:r w:rsidRPr="00A96A86">
              <w:rPr>
                <w:color w:val="000000"/>
                <w:sz w:val="22"/>
                <w:lang w:val="fr-FR" w:eastAsia="en-GB"/>
              </w:rPr>
              <w:t>+ 200 EUR (retard de plus de 6 mois dans le paiement de l</w:t>
            </w:r>
            <w:r w:rsidR="00202D50">
              <w:rPr>
                <w:color w:val="000000"/>
                <w:sz w:val="22"/>
                <w:lang w:val="fr-FR" w:eastAsia="en-GB"/>
              </w:rPr>
              <w:t>’</w:t>
            </w:r>
            <w:r w:rsidRPr="00A96A86">
              <w:rPr>
                <w:color w:val="000000"/>
                <w:sz w:val="22"/>
                <w:lang w:val="fr-FR" w:eastAsia="en-GB"/>
              </w:rPr>
              <w:t>indemnisation « Pinto »)</w:t>
            </w:r>
          </w:p>
        </w:tc>
      </w:tr>
    </w:tbl>
    <w:p w:rsidR="0070642F" w:rsidRPr="0094209D" w:rsidRDefault="0070642F" w:rsidP="0070642F">
      <w:pPr>
        <w:pStyle w:val="ECHRHeading2"/>
      </w:pPr>
      <w:r w:rsidRPr="0094209D">
        <w:t>B.  Frais et dépens</w:t>
      </w:r>
    </w:p>
    <w:p w:rsidR="0070642F" w:rsidRPr="00A96A86" w:rsidRDefault="00E86D85" w:rsidP="0070642F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r w:rsidR="0070642F" w:rsidRPr="0094209D">
        <w:t>.  </w:t>
      </w:r>
      <w:r w:rsidR="0070642F" w:rsidRPr="00A96A86">
        <w:rPr>
          <w:lang w:val="fr-FR"/>
        </w:rPr>
        <w:t>Les requérants n</w:t>
      </w:r>
      <w:r w:rsidR="00202D50">
        <w:rPr>
          <w:lang w:val="fr-FR"/>
        </w:rPr>
        <w:t>’</w:t>
      </w:r>
      <w:r w:rsidR="0070642F" w:rsidRPr="00A96A86">
        <w:rPr>
          <w:lang w:val="fr-FR"/>
        </w:rPr>
        <w:t>ayant pas présenté de demandes de remboursement des frais et dépens dans le délai imparti à cet effet, la Cour décide de ne rien accorder à ce titre.</w:t>
      </w:r>
    </w:p>
    <w:p w:rsidR="00D2115A" w:rsidRPr="009A5CE4" w:rsidRDefault="00D2115A" w:rsidP="009A5CE4">
      <w:pPr>
        <w:pStyle w:val="ECHRHeading2"/>
      </w:pPr>
      <w:r w:rsidRPr="009A5CE4">
        <w:t>C.  Intérêts moratoires</w:t>
      </w:r>
    </w:p>
    <w:p w:rsidR="0020440B" w:rsidRPr="009A5CE4" w:rsidRDefault="00E86D85" w:rsidP="009A5CE4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  <w:r w:rsidR="00D2115A" w:rsidRPr="0094209D">
        <w:t>.  </w:t>
      </w:r>
      <w:r w:rsidR="00D2115A" w:rsidRPr="009A5CE4">
        <w:rPr>
          <w:lang w:val="fr-FR"/>
        </w:rPr>
        <w:t>La Cour juge approprié de calquer le taux des intérêts moratoires sur le taux d</w:t>
      </w:r>
      <w:r w:rsidR="00202D50">
        <w:rPr>
          <w:lang w:val="fr-FR"/>
        </w:rPr>
        <w:t>’</w:t>
      </w:r>
      <w:r w:rsidR="00D2115A" w:rsidRPr="009A5CE4">
        <w:rPr>
          <w:lang w:val="fr-FR"/>
        </w:rPr>
        <w:t>intérêt de la facilité de prêt marginal de la Banque centrale européenne majoré de trois points de pourcentage.</w:t>
      </w:r>
    </w:p>
    <w:p w:rsidR="0070642F" w:rsidRPr="009A5CE4" w:rsidRDefault="0070642F" w:rsidP="0070642F">
      <w:pPr>
        <w:pStyle w:val="ECHRTitle1"/>
        <w:rPr>
          <w:lang w:val="fr-FR"/>
        </w:rPr>
      </w:pPr>
      <w:r w:rsidRPr="009A5CE4">
        <w:rPr>
          <w:lang w:val="fr-FR"/>
        </w:rPr>
        <w:t>PAR CES MOTIFS, LA COUR</w:t>
      </w:r>
      <w:r w:rsidRPr="009A5CE4">
        <w:rPr>
          <w:noProof/>
          <w:lang w:val="fr-FR"/>
        </w:rPr>
        <w:t>,</w:t>
      </w:r>
    </w:p>
    <w:p w:rsidR="0070642F" w:rsidRPr="0094209D" w:rsidRDefault="0070642F" w:rsidP="0070642F">
      <w:pPr>
        <w:pStyle w:val="JuList"/>
        <w:rPr>
          <w:i/>
        </w:rPr>
      </w:pPr>
      <w:r w:rsidRPr="0094209D">
        <w:t>1.  </w:t>
      </w:r>
      <w:r w:rsidRPr="0094209D">
        <w:rPr>
          <w:i/>
        </w:rPr>
        <w:t xml:space="preserve">Décide </w:t>
      </w:r>
      <w:r w:rsidRPr="0094209D">
        <w:t>de joindre les requêtes</w:t>
      </w:r>
      <w:r w:rsidR="00514BE6">
        <w:rPr>
          <w:i/>
        </w:rPr>
        <w:t> ;</w:t>
      </w:r>
    </w:p>
    <w:p w:rsidR="0070642F" w:rsidRPr="0094209D" w:rsidRDefault="0070642F" w:rsidP="0070642F">
      <w:pPr>
        <w:pStyle w:val="JuList"/>
        <w:rPr>
          <w:i/>
        </w:rPr>
      </w:pPr>
    </w:p>
    <w:p w:rsidR="0070642F" w:rsidRPr="0094209D" w:rsidRDefault="0070642F" w:rsidP="0070642F">
      <w:pPr>
        <w:pStyle w:val="JuList"/>
      </w:pPr>
      <w:r w:rsidRPr="0094209D">
        <w:t>2.</w:t>
      </w:r>
      <w:r w:rsidR="006C766E" w:rsidRPr="0094209D">
        <w:t>  </w:t>
      </w:r>
      <w:r w:rsidRPr="0094209D">
        <w:rPr>
          <w:i/>
        </w:rPr>
        <w:t>Déclare</w:t>
      </w:r>
      <w:r w:rsidRPr="0094209D">
        <w:t xml:space="preserve"> </w:t>
      </w:r>
      <w:r w:rsidRPr="0094209D">
        <w:rPr>
          <w:noProof/>
        </w:rPr>
        <w:t>les requêtes</w:t>
      </w:r>
      <w:r w:rsidR="001928B2" w:rsidRPr="0094209D">
        <w:rPr>
          <w:noProof/>
        </w:rPr>
        <w:t xml:space="preserve"> </w:t>
      </w:r>
      <w:r w:rsidR="001928B2" w:rsidRPr="0094209D">
        <w:t>n</w:t>
      </w:r>
      <w:r w:rsidR="001928B2" w:rsidRPr="0094209D">
        <w:rPr>
          <w:vertAlign w:val="superscript"/>
        </w:rPr>
        <w:t>os</w:t>
      </w:r>
      <w:r w:rsidR="001928B2" w:rsidRPr="0094209D">
        <w:t xml:space="preserve"> 17760/03 et 17761/03</w:t>
      </w:r>
      <w:r w:rsidR="001928B2" w:rsidRPr="0094209D">
        <w:rPr>
          <w:noProof/>
        </w:rPr>
        <w:t xml:space="preserve"> ir</w:t>
      </w:r>
      <w:r w:rsidRPr="0094209D">
        <w:rPr>
          <w:noProof/>
        </w:rPr>
        <w:t>recevables</w:t>
      </w:r>
      <w:r w:rsidRPr="0094209D">
        <w:t xml:space="preserve"> quant</w:t>
      </w:r>
      <w:r w:rsidR="001928B2" w:rsidRPr="0094209D">
        <w:t xml:space="preserve"> au grief tiré de la durée des</w:t>
      </w:r>
      <w:r w:rsidRPr="0094209D">
        <w:t xml:space="preserve"> procédure</w:t>
      </w:r>
      <w:r w:rsidR="001928B2" w:rsidRPr="0094209D">
        <w:t xml:space="preserve">s principales et recevables pour le grief tiré du retard dans le paiement des indemnisations « Pinto » </w:t>
      </w:r>
      <w:r w:rsidRPr="0094209D">
        <w:t>;</w:t>
      </w:r>
    </w:p>
    <w:p w:rsidR="001928B2" w:rsidRPr="0094209D" w:rsidRDefault="001928B2" w:rsidP="0070642F">
      <w:pPr>
        <w:pStyle w:val="JuList"/>
      </w:pPr>
    </w:p>
    <w:p w:rsidR="001928B2" w:rsidRPr="0094209D" w:rsidRDefault="005215F3" w:rsidP="001928B2">
      <w:pPr>
        <w:pStyle w:val="JuList"/>
      </w:pPr>
      <w:r w:rsidRPr="0094209D">
        <w:t>3</w:t>
      </w:r>
      <w:r w:rsidR="001928B2" w:rsidRPr="0094209D">
        <w:t>.</w:t>
      </w:r>
      <w:r w:rsidR="006C766E" w:rsidRPr="0094209D">
        <w:t>  </w:t>
      </w:r>
      <w:r w:rsidR="001928B2" w:rsidRPr="0094209D">
        <w:rPr>
          <w:i/>
        </w:rPr>
        <w:t>Déclare</w:t>
      </w:r>
      <w:r w:rsidR="001928B2" w:rsidRPr="0094209D">
        <w:t xml:space="preserve"> </w:t>
      </w:r>
      <w:r w:rsidR="001928B2" w:rsidRPr="0094209D">
        <w:rPr>
          <w:noProof/>
        </w:rPr>
        <w:t xml:space="preserve">les autres requêtes </w:t>
      </w:r>
      <w:r w:rsidR="001928B2" w:rsidRPr="0094209D">
        <w:t>recevables ;</w:t>
      </w:r>
    </w:p>
    <w:p w:rsidR="0070642F" w:rsidRPr="0094209D" w:rsidRDefault="0070642F" w:rsidP="0070642F">
      <w:pPr>
        <w:pStyle w:val="JuList"/>
      </w:pPr>
    </w:p>
    <w:p w:rsidR="005215F3" w:rsidRPr="00A96A86" w:rsidRDefault="00D31EDB" w:rsidP="0070642F">
      <w:pPr>
        <w:pStyle w:val="JuList"/>
        <w:rPr>
          <w:lang w:val="fr-FR"/>
        </w:rPr>
      </w:pPr>
      <w:r w:rsidRPr="0094209D">
        <w:t>4</w:t>
      </w:r>
      <w:r w:rsidR="0070642F" w:rsidRPr="0094209D">
        <w:t>.</w:t>
      </w:r>
      <w:r w:rsidR="00514BE6">
        <w:t>  </w:t>
      </w:r>
      <w:r w:rsidR="005215F3" w:rsidRPr="00A96A86">
        <w:rPr>
          <w:i/>
          <w:lang w:val="fr-FR"/>
        </w:rPr>
        <w:t>Dit</w:t>
      </w:r>
      <w:r w:rsidR="005215F3" w:rsidRPr="00A96A86">
        <w:rPr>
          <w:lang w:val="fr-FR"/>
        </w:rPr>
        <w:t xml:space="preserve"> qu</w:t>
      </w:r>
      <w:r w:rsidR="00202D50">
        <w:rPr>
          <w:lang w:val="fr-FR"/>
        </w:rPr>
        <w:t>’</w:t>
      </w:r>
      <w:r w:rsidR="005215F3" w:rsidRPr="00A96A86">
        <w:rPr>
          <w:lang w:val="fr-FR"/>
        </w:rPr>
        <w:t>il y a eu violation de l</w:t>
      </w:r>
      <w:r w:rsidR="00202D50">
        <w:rPr>
          <w:lang w:val="fr-FR"/>
        </w:rPr>
        <w:t>’</w:t>
      </w:r>
      <w:r w:rsidR="005215F3" w:rsidRPr="00A96A86">
        <w:rPr>
          <w:lang w:val="fr-FR"/>
        </w:rPr>
        <w:t>article 1 du Protocole n</w:t>
      </w:r>
      <w:r w:rsidR="00EE125E" w:rsidRPr="00A96A86">
        <w:rPr>
          <w:vertAlign w:val="superscript"/>
          <w:lang w:val="fr-FR"/>
        </w:rPr>
        <w:t>o</w:t>
      </w:r>
      <w:r w:rsidR="005215F3" w:rsidRPr="00A96A86">
        <w:rPr>
          <w:lang w:val="fr-FR"/>
        </w:rPr>
        <w:t xml:space="preserve"> 1 quant au retard dans le paiement des indemnisations Pinto dans les requêtes n</w:t>
      </w:r>
      <w:r w:rsidR="005215F3" w:rsidRPr="00A96A86">
        <w:rPr>
          <w:vertAlign w:val="superscript"/>
          <w:lang w:val="fr-FR"/>
        </w:rPr>
        <w:t>os</w:t>
      </w:r>
      <w:r w:rsidR="00394C18" w:rsidRPr="00A96A86">
        <w:rPr>
          <w:vertAlign w:val="superscript"/>
          <w:lang w:val="fr-FR"/>
        </w:rPr>
        <w:t> </w:t>
      </w:r>
      <w:r w:rsidR="005215F3" w:rsidRPr="00A96A86">
        <w:rPr>
          <w:lang w:val="fr-FR"/>
        </w:rPr>
        <w:t>17760/03 et 17761/03</w:t>
      </w:r>
      <w:r w:rsidRPr="00A96A86">
        <w:rPr>
          <w:lang w:val="fr-FR"/>
        </w:rPr>
        <w:t> ;</w:t>
      </w:r>
    </w:p>
    <w:p w:rsidR="005215F3" w:rsidRPr="00A96A86" w:rsidRDefault="005215F3" w:rsidP="0070642F">
      <w:pPr>
        <w:pStyle w:val="JuList"/>
        <w:rPr>
          <w:lang w:val="fr-FR"/>
        </w:rPr>
      </w:pPr>
    </w:p>
    <w:p w:rsidR="0070642F" w:rsidRPr="00A96A86" w:rsidRDefault="00D31EDB" w:rsidP="0070642F">
      <w:pPr>
        <w:pStyle w:val="JuList"/>
        <w:rPr>
          <w:lang w:val="fr-FR"/>
        </w:rPr>
      </w:pPr>
      <w:r w:rsidRPr="0094209D">
        <w:t>5</w:t>
      </w:r>
      <w:r w:rsidR="005215F3" w:rsidRPr="0094209D">
        <w:t>.</w:t>
      </w:r>
      <w:r w:rsidR="00514BE6">
        <w:t>  </w:t>
      </w:r>
      <w:r w:rsidR="0070642F" w:rsidRPr="00A96A86">
        <w:rPr>
          <w:i/>
          <w:lang w:val="fr-FR"/>
        </w:rPr>
        <w:t>Dit</w:t>
      </w:r>
      <w:r w:rsidR="0070642F" w:rsidRPr="00A96A86">
        <w:rPr>
          <w:lang w:val="fr-FR"/>
        </w:rPr>
        <w:t xml:space="preserve"> qu</w:t>
      </w:r>
      <w:r w:rsidR="00202D50">
        <w:rPr>
          <w:lang w:val="fr-FR"/>
        </w:rPr>
        <w:t>’</w:t>
      </w:r>
      <w:r w:rsidR="0070642F" w:rsidRPr="00A96A86">
        <w:rPr>
          <w:lang w:val="fr-FR"/>
        </w:rPr>
        <w:t xml:space="preserve">il y a eu violation des articles 6 § 1 </w:t>
      </w:r>
      <w:r w:rsidR="000D777D" w:rsidRPr="00A96A86">
        <w:rPr>
          <w:lang w:val="fr-FR"/>
        </w:rPr>
        <w:t xml:space="preserve">de la Convention </w:t>
      </w:r>
      <w:r w:rsidR="0070642F" w:rsidRPr="00A96A86">
        <w:rPr>
          <w:lang w:val="fr-FR"/>
        </w:rPr>
        <w:t>et 1 du Protocole n</w:t>
      </w:r>
      <w:r w:rsidR="00EE125E" w:rsidRPr="00A96A86">
        <w:rPr>
          <w:vertAlign w:val="superscript"/>
          <w:lang w:val="fr-FR"/>
        </w:rPr>
        <w:t>o</w:t>
      </w:r>
      <w:r w:rsidR="0070642F" w:rsidRPr="00A96A86">
        <w:rPr>
          <w:lang w:val="fr-FR"/>
        </w:rPr>
        <w:t xml:space="preserve"> 1 </w:t>
      </w:r>
      <w:r w:rsidR="00380F17" w:rsidRPr="00A96A86">
        <w:rPr>
          <w:lang w:val="fr-FR"/>
        </w:rPr>
        <w:t>quant à la durée des procédures et du retard dans le paiement des indemnisations Pinto pour les autres requêtes </w:t>
      </w:r>
      <w:r w:rsidR="0070642F" w:rsidRPr="00A96A86">
        <w:rPr>
          <w:lang w:val="fr-FR"/>
        </w:rPr>
        <w:t>;</w:t>
      </w:r>
    </w:p>
    <w:p w:rsidR="0070642F" w:rsidRPr="00A96A86" w:rsidRDefault="0070642F" w:rsidP="0070642F">
      <w:pPr>
        <w:pStyle w:val="JuList"/>
        <w:rPr>
          <w:noProof/>
          <w:lang w:val="fr-FR"/>
        </w:rPr>
      </w:pPr>
    </w:p>
    <w:p w:rsidR="0070642F" w:rsidRPr="009A5CE4" w:rsidRDefault="00D31EDB" w:rsidP="009A5CE4">
      <w:pPr>
        <w:pStyle w:val="JuList"/>
        <w:rPr>
          <w:lang w:val="fr-FR"/>
        </w:rPr>
      </w:pPr>
      <w:r w:rsidRPr="0094209D">
        <w:t>6</w:t>
      </w:r>
      <w:r w:rsidR="0070642F" w:rsidRPr="0094209D">
        <w:t>.  </w:t>
      </w:r>
      <w:r w:rsidR="0070642F" w:rsidRPr="009A5CE4">
        <w:rPr>
          <w:i/>
          <w:lang w:val="fr-FR"/>
        </w:rPr>
        <w:t>Dit</w:t>
      </w:r>
      <w:r w:rsidR="0070642F" w:rsidRPr="009A5CE4">
        <w:rPr>
          <w:lang w:val="fr-FR"/>
        </w:rPr>
        <w:t xml:space="preserve"> que l</w:t>
      </w:r>
      <w:r w:rsidR="00202D50">
        <w:rPr>
          <w:lang w:val="fr-FR"/>
        </w:rPr>
        <w:t>’</w:t>
      </w:r>
      <w:r w:rsidR="0024575C" w:rsidRPr="009A5CE4">
        <w:rPr>
          <w:lang w:val="fr-FR"/>
        </w:rPr>
        <w:t>État</w:t>
      </w:r>
      <w:r w:rsidR="0070642F" w:rsidRPr="009A5CE4">
        <w:rPr>
          <w:lang w:val="fr-FR"/>
        </w:rPr>
        <w:t xml:space="preserve"> défendeur doit verser </w:t>
      </w:r>
      <w:r w:rsidR="0070642F" w:rsidRPr="009A5CE4">
        <w:rPr>
          <w:noProof/>
          <w:lang w:val="fr-FR"/>
        </w:rPr>
        <w:t>aux requérants</w:t>
      </w:r>
      <w:r w:rsidR="0070642F" w:rsidRPr="009A5CE4">
        <w:rPr>
          <w:lang w:val="fr-FR"/>
        </w:rPr>
        <w:t>, dans les trois mois,</w:t>
      </w:r>
    </w:p>
    <w:p w:rsidR="0070642F" w:rsidRPr="009A5CE4" w:rsidRDefault="0070642F" w:rsidP="009A5CE4">
      <w:pPr>
        <w:pStyle w:val="JuLista"/>
        <w:ind w:left="709" w:hanging="363"/>
        <w:rPr>
          <w:lang w:val="fr-FR"/>
        </w:rPr>
      </w:pPr>
      <w:r w:rsidRPr="009A5CE4">
        <w:rPr>
          <w:lang w:val="fr-FR"/>
        </w:rPr>
        <w:t>a)  les sommes suivantes, plus tout montant pouvant être dû à titre d</w:t>
      </w:r>
      <w:r w:rsidR="00202D50">
        <w:rPr>
          <w:lang w:val="fr-FR"/>
        </w:rPr>
        <w:t>’</w:t>
      </w:r>
      <w:r w:rsidRPr="009A5CE4">
        <w:rPr>
          <w:lang w:val="fr-FR"/>
        </w:rPr>
        <w:t>impôt, à titre de dommage moral :</w:t>
      </w:r>
    </w:p>
    <w:p w:rsidR="00DB3F28" w:rsidRPr="009A5CE4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  <w:lang w:val="fr-FR"/>
        </w:rPr>
      </w:pPr>
      <w:r w:rsidRPr="009A5CE4">
        <w:rPr>
          <w:szCs w:val="24"/>
          <w:lang w:val="fr-FR"/>
        </w:rPr>
        <w:t>i.</w:t>
      </w:r>
      <w:r w:rsidRPr="009A5CE4">
        <w:rPr>
          <w:szCs w:val="24"/>
          <w:lang w:val="fr-FR"/>
        </w:rPr>
        <w:tab/>
      </w:r>
      <w:r w:rsidRPr="009A5CE4">
        <w:rPr>
          <w:b/>
          <w:szCs w:val="24"/>
          <w:lang w:val="fr-FR"/>
        </w:rPr>
        <w:t>n</w:t>
      </w:r>
      <w:r w:rsidRPr="009A5CE4">
        <w:rPr>
          <w:b/>
          <w:szCs w:val="24"/>
          <w:vertAlign w:val="superscript"/>
          <w:lang w:val="fr-FR"/>
        </w:rPr>
        <w:t>o</w:t>
      </w:r>
      <w:r w:rsidRPr="009A5CE4">
        <w:rPr>
          <w:b/>
          <w:szCs w:val="24"/>
          <w:lang w:val="fr-FR"/>
        </w:rPr>
        <w:t> 17760</w:t>
      </w:r>
      <w:r w:rsidRPr="009A5CE4">
        <w:rPr>
          <w:b/>
          <w:color w:val="000000"/>
          <w:szCs w:val="24"/>
          <w:lang w:val="fr-FR"/>
        </w:rPr>
        <w:t>/03</w:t>
      </w:r>
      <w:r w:rsidRPr="009A5CE4">
        <w:rPr>
          <w:color w:val="000000"/>
          <w:szCs w:val="24"/>
          <w:lang w:val="fr-FR"/>
        </w:rPr>
        <w:t xml:space="preserve"> </w:t>
      </w:r>
      <w:r w:rsidRPr="009A5CE4">
        <w:rPr>
          <w:szCs w:val="24"/>
          <w:lang w:val="fr-FR"/>
        </w:rPr>
        <w:t>:</w:t>
      </w:r>
      <w:r w:rsidRPr="009A5CE4">
        <w:rPr>
          <w:szCs w:val="24"/>
          <w:lang w:val="fr-FR"/>
        </w:rPr>
        <w:tab/>
      </w:r>
      <w:r w:rsidRPr="009A5CE4">
        <w:rPr>
          <w:lang w:val="fr-FR"/>
        </w:rPr>
        <w:t>200 EUR</w:t>
      </w:r>
      <w:r w:rsidRPr="009A5CE4">
        <w:rPr>
          <w:lang w:val="fr-FR"/>
        </w:rPr>
        <w:tab/>
        <w:t xml:space="preserve"> (deux cents euros) </w:t>
      </w:r>
      <w:r w:rsidRPr="009A5CE4">
        <w:rPr>
          <w:szCs w:val="24"/>
          <w:lang w:val="fr-FR"/>
        </w:rPr>
        <w:t>;</w:t>
      </w:r>
    </w:p>
    <w:p w:rsidR="00DB3F28" w:rsidRPr="0094209D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</w:rPr>
      </w:pPr>
      <w:r w:rsidRPr="0094209D">
        <w:rPr>
          <w:szCs w:val="24"/>
        </w:rPr>
        <w:t>ii.</w:t>
      </w:r>
      <w:r>
        <w:rPr>
          <w:szCs w:val="24"/>
        </w:rPr>
        <w:tab/>
      </w:r>
      <w:r w:rsidRPr="0094209D">
        <w:rPr>
          <w:b/>
          <w:szCs w:val="24"/>
        </w:rPr>
        <w:t>n</w:t>
      </w:r>
      <w:r w:rsidRPr="0094209D">
        <w:rPr>
          <w:b/>
          <w:szCs w:val="24"/>
          <w:vertAlign w:val="superscript"/>
        </w:rPr>
        <w:t>o</w:t>
      </w:r>
      <w:r w:rsidRPr="0094209D">
        <w:rPr>
          <w:b/>
          <w:szCs w:val="24"/>
        </w:rPr>
        <w:t xml:space="preserve"> 17761/03 </w:t>
      </w:r>
      <w:r w:rsidRPr="0094209D">
        <w:rPr>
          <w:szCs w:val="24"/>
        </w:rPr>
        <w:t>:</w:t>
      </w:r>
      <w:r>
        <w:rPr>
          <w:szCs w:val="24"/>
        </w:rPr>
        <w:tab/>
      </w:r>
      <w:r w:rsidRPr="0094209D">
        <w:t>200 EUR</w:t>
      </w:r>
      <w:r>
        <w:t xml:space="preserve"> </w:t>
      </w:r>
      <w:r>
        <w:tab/>
      </w:r>
      <w:r w:rsidRPr="0094209D">
        <w:t xml:space="preserve">(deux cents euros) </w:t>
      </w:r>
      <w:r w:rsidRPr="0094209D">
        <w:rPr>
          <w:szCs w:val="24"/>
        </w:rPr>
        <w:t>;</w:t>
      </w:r>
    </w:p>
    <w:p w:rsidR="00DB3F28" w:rsidRPr="0094209D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</w:rPr>
      </w:pPr>
      <w:r w:rsidRPr="0094209D">
        <w:rPr>
          <w:szCs w:val="24"/>
        </w:rPr>
        <w:t>iii.</w:t>
      </w:r>
      <w:r>
        <w:rPr>
          <w:szCs w:val="24"/>
        </w:rPr>
        <w:tab/>
      </w:r>
      <w:r w:rsidRPr="0094209D">
        <w:rPr>
          <w:b/>
          <w:szCs w:val="24"/>
        </w:rPr>
        <w:t>n</w:t>
      </w:r>
      <w:r w:rsidRPr="0094209D">
        <w:rPr>
          <w:b/>
          <w:szCs w:val="24"/>
          <w:vertAlign w:val="superscript"/>
        </w:rPr>
        <w:t>o</w:t>
      </w:r>
      <w:r w:rsidRPr="0094209D">
        <w:rPr>
          <w:b/>
          <w:szCs w:val="24"/>
        </w:rPr>
        <w:t xml:space="preserve"> 19903/03 </w:t>
      </w:r>
      <w:r w:rsidRPr="0094209D">
        <w:rPr>
          <w:szCs w:val="24"/>
        </w:rPr>
        <w:t>:</w:t>
      </w:r>
      <w:r>
        <w:rPr>
          <w:szCs w:val="24"/>
        </w:rPr>
        <w:tab/>
      </w:r>
      <w:r w:rsidRPr="0094209D">
        <w:t>6 2</w:t>
      </w:r>
      <w:r>
        <w:t>0</w:t>
      </w:r>
      <w:r w:rsidRPr="0094209D">
        <w:t>0 EUR</w:t>
      </w:r>
      <w:r>
        <w:t xml:space="preserve"> </w:t>
      </w:r>
      <w:r>
        <w:tab/>
      </w:r>
      <w:r w:rsidRPr="0094209D">
        <w:t>(six mille deux cent</w:t>
      </w:r>
      <w:r>
        <w:t>s</w:t>
      </w:r>
      <w:r w:rsidRPr="0094209D">
        <w:t xml:space="preserve"> euros) </w:t>
      </w:r>
      <w:r w:rsidRPr="0094209D">
        <w:rPr>
          <w:szCs w:val="24"/>
        </w:rPr>
        <w:t>;</w:t>
      </w:r>
    </w:p>
    <w:p w:rsidR="00DB3F28" w:rsidRPr="0094209D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</w:rPr>
      </w:pPr>
      <w:r w:rsidRPr="0094209D">
        <w:rPr>
          <w:szCs w:val="24"/>
        </w:rPr>
        <w:t>iv.</w:t>
      </w:r>
      <w:r>
        <w:rPr>
          <w:szCs w:val="24"/>
        </w:rPr>
        <w:tab/>
      </w:r>
      <w:r w:rsidRPr="0094209D">
        <w:rPr>
          <w:b/>
          <w:szCs w:val="24"/>
        </w:rPr>
        <w:t>n</w:t>
      </w:r>
      <w:r w:rsidRPr="0094209D">
        <w:rPr>
          <w:b/>
          <w:szCs w:val="24"/>
          <w:vertAlign w:val="superscript"/>
        </w:rPr>
        <w:t>o</w:t>
      </w:r>
      <w:r w:rsidRPr="0094209D">
        <w:rPr>
          <w:b/>
          <w:szCs w:val="24"/>
        </w:rPr>
        <w:t> 19905/03</w:t>
      </w:r>
      <w:r w:rsidRPr="0094209D">
        <w:rPr>
          <w:szCs w:val="24"/>
        </w:rPr>
        <w:t xml:space="preserve"> :</w:t>
      </w:r>
      <w:r>
        <w:rPr>
          <w:szCs w:val="24"/>
        </w:rPr>
        <w:tab/>
      </w:r>
      <w:r w:rsidRPr="0094209D">
        <w:t xml:space="preserve">2 </w:t>
      </w:r>
      <w:r>
        <w:t>80</w:t>
      </w:r>
      <w:r w:rsidRPr="0094209D">
        <w:t>0 EUR</w:t>
      </w:r>
      <w:r>
        <w:t xml:space="preserve"> </w:t>
      </w:r>
      <w:r>
        <w:tab/>
      </w:r>
      <w:r w:rsidRPr="0094209D">
        <w:t xml:space="preserve">(deux mille </w:t>
      </w:r>
      <w:r>
        <w:t>huit cents</w:t>
      </w:r>
      <w:r w:rsidRPr="0094209D">
        <w:t xml:space="preserve"> euros) </w:t>
      </w:r>
      <w:r w:rsidRPr="0094209D">
        <w:rPr>
          <w:szCs w:val="24"/>
        </w:rPr>
        <w:t>;</w:t>
      </w:r>
    </w:p>
    <w:p w:rsidR="00DB3F28" w:rsidRPr="0094209D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</w:rPr>
      </w:pPr>
      <w:r w:rsidRPr="0094209D">
        <w:rPr>
          <w:szCs w:val="24"/>
        </w:rPr>
        <w:t>v.</w:t>
      </w:r>
      <w:r>
        <w:rPr>
          <w:szCs w:val="24"/>
        </w:rPr>
        <w:tab/>
      </w:r>
      <w:r w:rsidRPr="00341D36">
        <w:rPr>
          <w:b/>
          <w:szCs w:val="24"/>
        </w:rPr>
        <w:t>n</w:t>
      </w:r>
      <w:r w:rsidRPr="0094209D">
        <w:rPr>
          <w:b/>
          <w:szCs w:val="24"/>
          <w:vertAlign w:val="superscript"/>
        </w:rPr>
        <w:t>o</w:t>
      </w:r>
      <w:r w:rsidRPr="0094209D">
        <w:rPr>
          <w:b/>
          <w:szCs w:val="24"/>
        </w:rPr>
        <w:t> 19908/03</w:t>
      </w:r>
      <w:r w:rsidRPr="0094209D">
        <w:rPr>
          <w:szCs w:val="24"/>
        </w:rPr>
        <w:t xml:space="preserve"> :</w:t>
      </w:r>
      <w:r>
        <w:rPr>
          <w:szCs w:val="24"/>
        </w:rPr>
        <w:tab/>
      </w:r>
      <w:r w:rsidRPr="0094209D">
        <w:t>3 8</w:t>
      </w:r>
      <w:r>
        <w:t>0</w:t>
      </w:r>
      <w:r w:rsidRPr="0094209D">
        <w:t>0 EUR</w:t>
      </w:r>
      <w:r>
        <w:t xml:space="preserve"> </w:t>
      </w:r>
      <w:r>
        <w:tab/>
      </w:r>
      <w:r w:rsidRPr="0094209D">
        <w:t xml:space="preserve">(trois mille </w:t>
      </w:r>
      <w:r>
        <w:t>huit cents euros</w:t>
      </w:r>
      <w:r w:rsidRPr="0094209D">
        <w:t xml:space="preserve">) </w:t>
      </w:r>
      <w:r w:rsidRPr="0094209D">
        <w:rPr>
          <w:szCs w:val="24"/>
        </w:rPr>
        <w:t>;</w:t>
      </w:r>
    </w:p>
    <w:p w:rsidR="00DB3F28" w:rsidRPr="0094209D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</w:rPr>
      </w:pPr>
      <w:r w:rsidRPr="0094209D">
        <w:rPr>
          <w:szCs w:val="24"/>
        </w:rPr>
        <w:t>vi.</w:t>
      </w:r>
      <w:r>
        <w:rPr>
          <w:szCs w:val="24"/>
        </w:rPr>
        <w:tab/>
      </w:r>
      <w:r w:rsidRPr="0094209D">
        <w:rPr>
          <w:b/>
          <w:szCs w:val="24"/>
        </w:rPr>
        <w:t>n</w:t>
      </w:r>
      <w:r w:rsidRPr="0094209D">
        <w:rPr>
          <w:b/>
          <w:szCs w:val="24"/>
          <w:vertAlign w:val="superscript"/>
        </w:rPr>
        <w:t>o</w:t>
      </w:r>
      <w:r w:rsidRPr="0094209D">
        <w:rPr>
          <w:b/>
          <w:szCs w:val="24"/>
        </w:rPr>
        <w:t> 19911/03</w:t>
      </w:r>
      <w:r w:rsidRPr="0094209D">
        <w:rPr>
          <w:szCs w:val="24"/>
        </w:rPr>
        <w:t xml:space="preserve"> :</w:t>
      </w:r>
      <w:r>
        <w:rPr>
          <w:szCs w:val="24"/>
        </w:rPr>
        <w:tab/>
      </w:r>
      <w:r w:rsidRPr="0094209D">
        <w:rPr>
          <w:szCs w:val="24"/>
        </w:rPr>
        <w:t>4 8</w:t>
      </w:r>
      <w:r>
        <w:rPr>
          <w:szCs w:val="24"/>
        </w:rPr>
        <w:t>0</w:t>
      </w:r>
      <w:r w:rsidRPr="0094209D">
        <w:rPr>
          <w:szCs w:val="24"/>
        </w:rPr>
        <w:t>0</w:t>
      </w:r>
      <w:r w:rsidRPr="0094209D">
        <w:t xml:space="preserve"> EUR</w:t>
      </w:r>
      <w:r>
        <w:t xml:space="preserve"> </w:t>
      </w:r>
      <w:r>
        <w:tab/>
      </w:r>
      <w:r w:rsidRPr="0094209D">
        <w:t>(quatre mille huit cent</w:t>
      </w:r>
      <w:r>
        <w:t>s</w:t>
      </w:r>
      <w:r w:rsidRPr="0094209D">
        <w:t xml:space="preserve"> euros) </w:t>
      </w:r>
      <w:r w:rsidRPr="0094209D">
        <w:rPr>
          <w:szCs w:val="24"/>
        </w:rPr>
        <w:t>;</w:t>
      </w:r>
    </w:p>
    <w:p w:rsidR="00DB3F28" w:rsidRPr="0094209D" w:rsidRDefault="00DB3F28" w:rsidP="00DB3F28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</w:rPr>
      </w:pPr>
      <w:r w:rsidRPr="0094209D">
        <w:rPr>
          <w:szCs w:val="24"/>
        </w:rPr>
        <w:t>vii.</w:t>
      </w:r>
      <w:r>
        <w:rPr>
          <w:szCs w:val="24"/>
        </w:rPr>
        <w:tab/>
      </w:r>
      <w:r w:rsidRPr="0094209D">
        <w:rPr>
          <w:b/>
          <w:szCs w:val="24"/>
        </w:rPr>
        <w:t>n</w:t>
      </w:r>
      <w:r w:rsidRPr="0094209D">
        <w:rPr>
          <w:b/>
          <w:szCs w:val="24"/>
          <w:vertAlign w:val="superscript"/>
        </w:rPr>
        <w:t>o</w:t>
      </w:r>
      <w:r w:rsidRPr="0094209D">
        <w:rPr>
          <w:b/>
          <w:szCs w:val="24"/>
        </w:rPr>
        <w:t> 19915/03</w:t>
      </w:r>
      <w:r w:rsidRPr="0094209D">
        <w:rPr>
          <w:szCs w:val="24"/>
        </w:rPr>
        <w:t xml:space="preserve"> :</w:t>
      </w:r>
      <w:r>
        <w:rPr>
          <w:szCs w:val="24"/>
        </w:rPr>
        <w:tab/>
      </w:r>
      <w:r w:rsidRPr="0094209D">
        <w:t>10 7</w:t>
      </w:r>
      <w:r>
        <w:t>0</w:t>
      </w:r>
      <w:r w:rsidRPr="0094209D">
        <w:t>0 EUR</w:t>
      </w:r>
      <w:r>
        <w:t xml:space="preserve"> </w:t>
      </w:r>
      <w:r>
        <w:tab/>
      </w:r>
      <w:r w:rsidRPr="0094209D">
        <w:t>(dix mille sept cent</w:t>
      </w:r>
      <w:r>
        <w:t>s</w:t>
      </w:r>
      <w:r w:rsidRPr="0094209D">
        <w:t xml:space="preserve"> euros) </w:t>
      </w:r>
      <w:r w:rsidRPr="0094209D">
        <w:rPr>
          <w:szCs w:val="24"/>
        </w:rPr>
        <w:t>;</w:t>
      </w:r>
    </w:p>
    <w:p w:rsidR="0070642F" w:rsidRPr="009A5CE4" w:rsidRDefault="00DB3F28" w:rsidP="009A5CE4">
      <w:pPr>
        <w:pStyle w:val="JuListi"/>
        <w:tabs>
          <w:tab w:val="left" w:pos="1246"/>
          <w:tab w:val="right" w:pos="3828"/>
          <w:tab w:val="right" w:pos="4111"/>
        </w:tabs>
        <w:rPr>
          <w:szCs w:val="24"/>
          <w:lang w:val="fr-FR"/>
        </w:rPr>
      </w:pPr>
      <w:r w:rsidRPr="009A5CE4">
        <w:rPr>
          <w:szCs w:val="24"/>
          <w:lang w:val="fr-FR"/>
        </w:rPr>
        <w:t>viii.</w:t>
      </w:r>
      <w:r w:rsidRPr="009A5CE4">
        <w:rPr>
          <w:szCs w:val="24"/>
          <w:lang w:val="fr-FR"/>
        </w:rPr>
        <w:tab/>
      </w:r>
      <w:r w:rsidRPr="009A5CE4">
        <w:rPr>
          <w:b/>
          <w:szCs w:val="24"/>
          <w:lang w:val="fr-FR"/>
        </w:rPr>
        <w:t>n</w:t>
      </w:r>
      <w:r w:rsidRPr="009A5CE4">
        <w:rPr>
          <w:b/>
          <w:szCs w:val="24"/>
          <w:vertAlign w:val="superscript"/>
          <w:lang w:val="fr-FR"/>
        </w:rPr>
        <w:t>o</w:t>
      </w:r>
      <w:r w:rsidRPr="009A5CE4">
        <w:rPr>
          <w:b/>
          <w:szCs w:val="24"/>
          <w:lang w:val="fr-FR"/>
        </w:rPr>
        <w:t> 20114/03</w:t>
      </w:r>
      <w:r w:rsidRPr="009A5CE4">
        <w:rPr>
          <w:szCs w:val="24"/>
          <w:lang w:val="fr-FR"/>
        </w:rPr>
        <w:t xml:space="preserve"> :</w:t>
      </w:r>
      <w:r w:rsidRPr="009A5CE4">
        <w:rPr>
          <w:szCs w:val="24"/>
          <w:lang w:val="fr-FR"/>
        </w:rPr>
        <w:tab/>
      </w:r>
      <w:r w:rsidRPr="009A5CE4">
        <w:rPr>
          <w:lang w:val="fr-FR"/>
        </w:rPr>
        <w:t xml:space="preserve">2 100 EUR </w:t>
      </w:r>
      <w:r w:rsidRPr="009A5CE4">
        <w:rPr>
          <w:lang w:val="fr-FR"/>
        </w:rPr>
        <w:tab/>
        <w:t xml:space="preserve">(deux mille cent euros) </w:t>
      </w:r>
      <w:r w:rsidRPr="009A5CE4">
        <w:rPr>
          <w:szCs w:val="24"/>
          <w:lang w:val="fr-FR"/>
        </w:rPr>
        <w:t>;</w:t>
      </w:r>
    </w:p>
    <w:p w:rsidR="0070642F" w:rsidRPr="009A5CE4" w:rsidRDefault="0070642F" w:rsidP="00514BE6">
      <w:pPr>
        <w:pStyle w:val="JuLista"/>
        <w:ind w:left="709" w:hanging="363"/>
        <w:rPr>
          <w:lang w:val="fr-FR"/>
        </w:rPr>
      </w:pPr>
      <w:r w:rsidRPr="009A5CE4">
        <w:rPr>
          <w:lang w:val="fr-FR"/>
        </w:rPr>
        <w:t>b)  qu</w:t>
      </w:r>
      <w:r w:rsidR="00202D50">
        <w:rPr>
          <w:lang w:val="fr-FR"/>
        </w:rPr>
        <w:t>’</w:t>
      </w:r>
      <w:r w:rsidRPr="009A5CE4">
        <w:rPr>
          <w:lang w:val="fr-FR"/>
        </w:rPr>
        <w:t>à compter de l</w:t>
      </w:r>
      <w:r w:rsidR="00202D50">
        <w:rPr>
          <w:lang w:val="fr-FR"/>
        </w:rPr>
        <w:t>’</w:t>
      </w:r>
      <w:r w:rsidRPr="009A5CE4">
        <w:rPr>
          <w:lang w:val="fr-FR"/>
        </w:rPr>
        <w:t>expiration dudit délai et jusqu</w:t>
      </w:r>
      <w:r w:rsidR="00202D50">
        <w:rPr>
          <w:lang w:val="fr-FR"/>
        </w:rPr>
        <w:t>’</w:t>
      </w:r>
      <w:r w:rsidRPr="009A5CE4">
        <w:rPr>
          <w:lang w:val="fr-FR"/>
        </w:rPr>
        <w:t>au versement, ces montants seront à majorer d</w:t>
      </w:r>
      <w:r w:rsidR="00202D50">
        <w:rPr>
          <w:lang w:val="fr-FR"/>
        </w:rPr>
        <w:t>’</w:t>
      </w:r>
      <w:r w:rsidRPr="009A5CE4">
        <w:rPr>
          <w:lang w:val="fr-FR"/>
        </w:rPr>
        <w:t xml:space="preserve">un intérêt simple à un taux égal à celui de la facilité de prêt marginal de la Banque centrale européenne applicable pendant cette période, augmenté </w:t>
      </w:r>
      <w:r w:rsidR="001A1639" w:rsidRPr="009A5CE4">
        <w:rPr>
          <w:lang w:val="fr-FR"/>
        </w:rPr>
        <w:t>de trois points de pourcentage.</w:t>
      </w:r>
    </w:p>
    <w:p w:rsidR="0070642F" w:rsidRPr="00A96A86" w:rsidRDefault="0070642F" w:rsidP="0070642F">
      <w:pPr>
        <w:pStyle w:val="JuParaLast"/>
        <w:rPr>
          <w:lang w:val="fr-FR"/>
        </w:rPr>
      </w:pPr>
      <w:r w:rsidRPr="00A96A86">
        <w:rPr>
          <w:lang w:val="fr-FR"/>
        </w:rPr>
        <w:t xml:space="preserve">Fait en français, puis communiqué par écrit le </w:t>
      </w:r>
      <w:r w:rsidR="00017E56" w:rsidRPr="00A96A86">
        <w:rPr>
          <w:lang w:val="fr-FR"/>
        </w:rPr>
        <w:t>21 octobre 2014</w:t>
      </w:r>
      <w:r w:rsidRPr="00A96A86">
        <w:rPr>
          <w:lang w:val="fr-FR"/>
        </w:rPr>
        <w:t>, en application de l</w:t>
      </w:r>
      <w:r w:rsidR="00202D50">
        <w:rPr>
          <w:lang w:val="fr-FR"/>
        </w:rPr>
        <w:t>’</w:t>
      </w:r>
      <w:r w:rsidRPr="00A96A86">
        <w:rPr>
          <w:lang w:val="fr-FR"/>
        </w:rPr>
        <w:t>article 77 §§ 2 et 3 du règlement.</w:t>
      </w:r>
    </w:p>
    <w:p w:rsidR="00156727" w:rsidRDefault="00017E56" w:rsidP="00864F96">
      <w:pPr>
        <w:pStyle w:val="JuSigned"/>
        <w:tabs>
          <w:tab w:val="clear" w:pos="851"/>
          <w:tab w:val="clear" w:pos="6407"/>
          <w:tab w:val="center" w:pos="1134"/>
          <w:tab w:val="center" w:pos="6521"/>
        </w:tabs>
        <w:rPr>
          <w:sz w:val="40"/>
          <w:szCs w:val="40"/>
        </w:rPr>
      </w:pPr>
      <w:r w:rsidRPr="00A96A86">
        <w:rPr>
          <w:lang w:val="fr-FR"/>
        </w:rPr>
        <w:tab/>
      </w:r>
      <w:r>
        <w:rPr>
          <w:szCs w:val="24"/>
        </w:rPr>
        <w:t>Abel</w:t>
      </w:r>
      <w:r w:rsidRPr="00F818FC">
        <w:rPr>
          <w:szCs w:val="24"/>
        </w:rPr>
        <w:t xml:space="preserve"> </w:t>
      </w:r>
      <w:r>
        <w:rPr>
          <w:szCs w:val="24"/>
        </w:rPr>
        <w:t>Campos</w:t>
      </w:r>
      <w:r w:rsidRPr="00F818FC">
        <w:rPr>
          <w:szCs w:val="24"/>
        </w:rPr>
        <w:tab/>
      </w:r>
      <w:r>
        <w:rPr>
          <w:szCs w:val="24"/>
        </w:rPr>
        <w:t>Nebojša</w:t>
      </w:r>
      <w:r w:rsidRPr="00F818FC">
        <w:rPr>
          <w:szCs w:val="24"/>
        </w:rPr>
        <w:t xml:space="preserve"> </w:t>
      </w:r>
      <w:r>
        <w:rPr>
          <w:szCs w:val="24"/>
        </w:rPr>
        <w:t>Vučinić</w:t>
      </w:r>
      <w:r w:rsidRPr="00F818FC">
        <w:rPr>
          <w:szCs w:val="24"/>
        </w:rPr>
        <w:br/>
      </w:r>
      <w:r w:rsidRPr="00F818FC">
        <w:rPr>
          <w:szCs w:val="24"/>
        </w:rPr>
        <w:tab/>
      </w:r>
      <w:r>
        <w:rPr>
          <w:szCs w:val="24"/>
        </w:rPr>
        <w:t>Greffier adjoint</w:t>
      </w:r>
      <w:r w:rsidRPr="00F818FC">
        <w:rPr>
          <w:szCs w:val="24"/>
        </w:rPr>
        <w:tab/>
        <w:t>Président</w:t>
      </w:r>
    </w:p>
    <w:p w:rsidR="0070535A" w:rsidRDefault="0070535A" w:rsidP="007C6318">
      <w:pPr>
        <w:autoSpaceDE w:val="0"/>
        <w:autoSpaceDN w:val="0"/>
        <w:adjustRightInd w:val="0"/>
        <w:jc w:val="center"/>
        <w:rPr>
          <w:sz w:val="40"/>
          <w:szCs w:val="40"/>
        </w:rPr>
        <w:sectPr w:rsidR="0070535A" w:rsidSect="00E81A16">
          <w:headerReference w:type="even" r:id="rId12"/>
          <w:headerReference w:type="defaul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70535A" w:rsidRPr="0094209D" w:rsidRDefault="0070535A" w:rsidP="009A5CE4">
      <w:pPr>
        <w:pStyle w:val="ECHRPara"/>
        <w:jc w:val="center"/>
      </w:pPr>
      <w:r w:rsidRPr="0094209D">
        <w:t>ANNEXE</w:t>
      </w:r>
    </w:p>
    <w:p w:rsidR="0070535A" w:rsidRPr="00F93403" w:rsidRDefault="0070535A" w:rsidP="0070535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128"/>
        <w:gridCol w:w="3409"/>
        <w:gridCol w:w="1133"/>
        <w:gridCol w:w="1671"/>
        <w:gridCol w:w="1786"/>
        <w:gridCol w:w="1571"/>
      </w:tblGrid>
      <w:tr w:rsidR="0070535A" w:rsidRPr="0094209D" w:rsidTr="00A96A86">
        <w:trPr>
          <w:cantSplit/>
        </w:trPr>
        <w:tc>
          <w:tcPr>
            <w:tcW w:w="723" w:type="pct"/>
            <w:vMerge w:val="restart"/>
            <w:shd w:val="clear" w:color="auto" w:fill="auto"/>
            <w:vAlign w:val="center"/>
          </w:tcPr>
          <w:p w:rsidR="0070535A" w:rsidRPr="00A96A86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  <w:lang w:val="fr-FR"/>
              </w:rPr>
            </w:pPr>
            <w:r w:rsidRPr="00A96A86">
              <w:rPr>
                <w:b/>
                <w:sz w:val="22"/>
                <w:lang w:val="fr-FR"/>
              </w:rPr>
              <w:t>Requêtes/détails requérants et dates d</w:t>
            </w:r>
            <w:r w:rsidR="00202D50">
              <w:rPr>
                <w:b/>
                <w:sz w:val="22"/>
                <w:lang w:val="fr-FR"/>
              </w:rPr>
              <w:t>’</w:t>
            </w:r>
            <w:r w:rsidRPr="00A96A86">
              <w:rPr>
                <w:b/>
                <w:sz w:val="22"/>
                <w:lang w:val="fr-FR"/>
              </w:rPr>
              <w:t>introduction</w:t>
            </w:r>
          </w:p>
        </w:tc>
        <w:tc>
          <w:tcPr>
            <w:tcW w:w="1814" w:type="pct"/>
            <w:gridSpan w:val="2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6"/>
                <w:szCs w:val="26"/>
              </w:rPr>
            </w:pPr>
            <w:r w:rsidRPr="0094209D">
              <w:rPr>
                <w:b/>
                <w:sz w:val="26"/>
                <w:szCs w:val="26"/>
              </w:rPr>
              <w:t>Procédure Principale</w:t>
            </w:r>
          </w:p>
        </w:tc>
        <w:tc>
          <w:tcPr>
            <w:tcW w:w="2463" w:type="pct"/>
            <w:gridSpan w:val="4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6"/>
                <w:szCs w:val="26"/>
              </w:rPr>
            </w:pPr>
            <w:r w:rsidRPr="0094209D">
              <w:rPr>
                <w:b/>
                <w:sz w:val="26"/>
                <w:szCs w:val="26"/>
              </w:rPr>
              <w:t>Procédure « Pinto »</w:t>
            </w:r>
          </w:p>
        </w:tc>
      </w:tr>
      <w:tr w:rsidR="0070535A" w:rsidRPr="0094209D" w:rsidTr="00A96A86">
        <w:trPr>
          <w:cantSplit/>
        </w:trPr>
        <w:tc>
          <w:tcPr>
            <w:tcW w:w="723" w:type="pct"/>
            <w:vMerge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Durée globale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Informations complémentaires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Autorité judiciaire</w:t>
            </w:r>
          </w:p>
        </w:tc>
        <w:tc>
          <w:tcPr>
            <w:tcW w:w="668" w:type="pct"/>
            <w:vAlign w:val="center"/>
          </w:tcPr>
          <w:p w:rsidR="0070535A" w:rsidRPr="00A96A86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  <w:lang w:val="fr-FR"/>
              </w:rPr>
            </w:pPr>
            <w:r w:rsidRPr="00A96A86">
              <w:rPr>
                <w:b/>
                <w:sz w:val="22"/>
                <w:lang w:val="fr-FR"/>
              </w:rPr>
              <w:t>Date de l</w:t>
            </w:r>
            <w:r w:rsidR="00202D50">
              <w:rPr>
                <w:b/>
                <w:sz w:val="22"/>
                <w:lang w:val="fr-FR"/>
              </w:rPr>
              <w:t>’</w:t>
            </w:r>
            <w:r w:rsidRPr="00A96A86">
              <w:rPr>
                <w:b/>
                <w:sz w:val="22"/>
                <w:lang w:val="fr-FR"/>
              </w:rPr>
              <w:t>introduction / Date du dépôt de la décision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 xml:space="preserve">Date à laquelle la décision « Pinto » a acquis </w:t>
            </w:r>
            <w:r>
              <w:rPr>
                <w:b/>
                <w:sz w:val="22"/>
              </w:rPr>
              <w:t xml:space="preserve">force </w:t>
            </w:r>
            <w:r w:rsidRPr="0094209D">
              <w:rPr>
                <w:b/>
                <w:sz w:val="22"/>
              </w:rPr>
              <w:t xml:space="preserve">de chose jugée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Sommes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94209D">
              <w:rPr>
                <w:b/>
                <w:sz w:val="22"/>
              </w:rPr>
              <w:t>Accordées / Date du paiement</w:t>
            </w:r>
          </w:p>
        </w:tc>
      </w:tr>
      <w:tr w:rsidR="0070535A" w:rsidRPr="0094209D" w:rsidTr="00514BE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color w:val="000000"/>
                <w:sz w:val="20"/>
                <w:lang w:val="it-IT"/>
              </w:rPr>
            </w:pPr>
            <w:r w:rsidRPr="0094209D">
              <w:rPr>
                <w:b/>
                <w:color w:val="000000"/>
                <w:sz w:val="20"/>
                <w:lang w:val="it-IT"/>
              </w:rPr>
              <w:t>17760/03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color w:val="000000"/>
                <w:sz w:val="20"/>
                <w:lang w:val="it-IT"/>
              </w:rPr>
            </w:pPr>
            <w:r w:rsidRPr="0094209D">
              <w:rPr>
                <w:b/>
                <w:color w:val="000000"/>
                <w:sz w:val="20"/>
                <w:lang w:val="it-IT"/>
              </w:rPr>
              <w:t>Zucchinali c.</w:t>
            </w:r>
            <w:r w:rsidR="00514BE6">
              <w:rPr>
                <w:b/>
                <w:color w:val="000000"/>
                <w:sz w:val="20"/>
                <w:lang w:val="it-IT"/>
              </w:rPr>
              <w:t> </w:t>
            </w:r>
            <w:r w:rsidRPr="0094209D">
              <w:rPr>
                <w:b/>
                <w:color w:val="000000"/>
                <w:sz w:val="20"/>
                <w:lang w:val="it-IT"/>
              </w:rPr>
              <w:t>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04/06/2003</w:t>
            </w:r>
          </w:p>
          <w:p w:rsidR="0070535A" w:rsidRPr="0094209D" w:rsidRDefault="0070535A" w:rsidP="00A96A86">
            <w:pPr>
              <w:pStyle w:val="ECHRPara"/>
              <w:ind w:firstLine="0"/>
              <w:rPr>
                <w:color w:val="000000"/>
                <w:sz w:val="20"/>
                <w:lang w:val="it-IT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  <w:r w:rsidRPr="0094209D">
              <w:rPr>
                <w:sz w:val="20"/>
                <w:lang w:val="it-IT"/>
              </w:rPr>
              <w:t>Annalisa ZUCCHINALI, ressortissante italienne, née en 1970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7 ans et 11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mois 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70535A" w:rsidRPr="00A96A86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  <w:r w:rsidRPr="00A96A86">
              <w:rPr>
                <w:color w:val="000000"/>
                <w:sz w:val="20"/>
                <w:lang w:val="fr-FR"/>
              </w:rPr>
              <w:t>Réparation des dommages subis lors d</w:t>
            </w:r>
            <w:r w:rsidR="00202D50">
              <w:rPr>
                <w:color w:val="000000"/>
                <w:sz w:val="20"/>
                <w:lang w:val="fr-FR"/>
              </w:rPr>
              <w:t>’</w:t>
            </w:r>
            <w:r w:rsidRPr="00A96A86">
              <w:rPr>
                <w:color w:val="000000"/>
                <w:sz w:val="20"/>
                <w:lang w:val="fr-FR"/>
              </w:rPr>
              <w:t>une opération chirurgicale</w:t>
            </w:r>
          </w:p>
          <w:p w:rsidR="0070535A" w:rsidRPr="00A96A86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873/95)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16 février 1995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5 février 2003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</w:tc>
        <w:tc>
          <w:tcPr>
            <w:tcW w:w="668" w:type="pct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18 mars 2002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3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100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EUR/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8 novembre 2003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94209D" w:rsidTr="00514BE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color w:val="000000"/>
                <w:sz w:val="20"/>
              </w:rPr>
              <w:t>17761/03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sz w:val="20"/>
              </w:rPr>
              <w:t>Rossi c. 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04/06/2003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4BE6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Caterina ROSSI, ressortissante italienne,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née en 1934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15 ans et 5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mois 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Partage d</w:t>
            </w:r>
            <w:r w:rsidR="00202D50">
              <w:rPr>
                <w:color w:val="000000"/>
                <w:sz w:val="20"/>
              </w:rPr>
              <w:t>’</w:t>
            </w:r>
            <w:r w:rsidRPr="0094209D">
              <w:rPr>
                <w:color w:val="000000"/>
                <w:sz w:val="20"/>
              </w:rPr>
              <w:t>un immeuble hérité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2273/88)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9 juin 1988</w:t>
            </w:r>
          </w:p>
          <w:p w:rsidR="0070535A" w:rsidRPr="0094209D" w:rsidRDefault="0070535A" w:rsidP="00514BE6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18</w:t>
            </w:r>
            <w:r w:rsidR="00514BE6">
              <w:rPr>
                <w:b/>
                <w:color w:val="000000"/>
                <w:sz w:val="20"/>
                <w:u w:val="single"/>
              </w:rPr>
              <w:t> </w:t>
            </w:r>
            <w:r w:rsidRPr="0094209D">
              <w:rPr>
                <w:b/>
                <w:color w:val="000000"/>
                <w:sz w:val="20"/>
                <w:u w:val="single"/>
              </w:rPr>
              <w:t>novembre</w:t>
            </w:r>
            <w:r w:rsidR="00514BE6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94209D">
              <w:rPr>
                <w:b/>
                <w:color w:val="000000"/>
                <w:sz w:val="20"/>
                <w:u w:val="single"/>
              </w:rPr>
              <w:t>2003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25 mars 2002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535A" w:rsidRPr="0094209D" w:rsidRDefault="00514BE6" w:rsidP="00514BE6">
            <w:pPr>
              <w:pStyle w:val="ECHRPara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  <w:r w:rsidR="0070535A" w:rsidRPr="0094209D">
              <w:rPr>
                <w:sz w:val="20"/>
              </w:rPr>
              <w:t>000</w:t>
            </w:r>
            <w:r>
              <w:rPr>
                <w:sz w:val="20"/>
              </w:rPr>
              <w:t> </w:t>
            </w:r>
            <w:r w:rsidR="0070535A" w:rsidRPr="0094209D">
              <w:rPr>
                <w:sz w:val="20"/>
              </w:rPr>
              <w:t>EUR/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11 décembre 2003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94209D" w:rsidTr="00514BE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color w:val="000000"/>
                <w:sz w:val="20"/>
              </w:rPr>
              <w:t>19903/03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sz w:val="20"/>
              </w:rPr>
              <w:t>Ragone c. 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 xml:space="preserve">Introduite le </w:t>
            </w:r>
            <w:r w:rsidRPr="0094209D">
              <w:rPr>
                <w:sz w:val="20"/>
              </w:rPr>
              <w:t>08/01/1999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4BE6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bookmarkStart w:id="5" w:name="OLE_LINK13"/>
            <w:bookmarkStart w:id="6" w:name="OLE_LINK14"/>
            <w:r w:rsidRPr="0094209D">
              <w:rPr>
                <w:sz w:val="20"/>
              </w:rPr>
              <w:t>Rosa RAGONE, ressortissante italienne,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née en 1959</w:t>
            </w:r>
            <w:bookmarkEnd w:id="5"/>
            <w:bookmarkEnd w:id="6"/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14 ans et 5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mois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Reconnaissance de certaines prestations sociétaires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2916/91)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18 juin 1991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16 décembre 2005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18 mars 2002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3 873 EUR/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2 décembre 2003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94209D" w:rsidTr="00514BE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color w:val="000000"/>
                <w:sz w:val="20"/>
              </w:rPr>
              <w:t>19905/03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sz w:val="20"/>
              </w:rPr>
              <w:t>Nani c 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22/12/1999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Eugenio NANI, ressortissant italien, né en 1955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6 ans et 10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mois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Réparation des dommages subis lors de la pose de vitres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6378/93)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22 juillet 1993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12 juin 2000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19 mars 2002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1032 EUR/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2 décembre 2003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94209D" w:rsidTr="00514BE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</w:rPr>
              <w:t>19908/03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</w:rPr>
              <w:t>Nervi c. 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01/03/1999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</w:rPr>
            </w:pPr>
          </w:p>
          <w:p w:rsidR="00514BE6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Simona NERVI, ressortissante italienne,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</w:rPr>
            </w:pPr>
            <w:r w:rsidRPr="0094209D">
              <w:rPr>
                <w:sz w:val="20"/>
              </w:rPr>
              <w:t xml:space="preserve"> née en 1965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13 ans et 3</w:t>
            </w:r>
            <w:r w:rsidR="00514BE6">
              <w:rPr>
                <w:sz w:val="20"/>
              </w:rPr>
              <w:t> </w:t>
            </w:r>
            <w:r w:rsidRPr="0094209D">
              <w:rPr>
                <w:sz w:val="20"/>
              </w:rPr>
              <w:t>mois 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70535A" w:rsidRPr="00A96A86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  <w:r w:rsidRPr="00A96A86">
              <w:rPr>
                <w:color w:val="000000"/>
                <w:sz w:val="20"/>
                <w:lang w:val="fr-FR"/>
              </w:rPr>
              <w:t>Réparation des dommages subis lors d</w:t>
            </w:r>
            <w:r w:rsidR="00202D50">
              <w:rPr>
                <w:color w:val="000000"/>
                <w:sz w:val="20"/>
                <w:lang w:val="fr-FR"/>
              </w:rPr>
              <w:t>’</w:t>
            </w:r>
            <w:r w:rsidRPr="00A96A86">
              <w:rPr>
                <w:color w:val="000000"/>
                <w:sz w:val="20"/>
                <w:lang w:val="fr-FR"/>
              </w:rPr>
              <w:t>un accident de la rue</w:t>
            </w:r>
          </w:p>
          <w:p w:rsidR="0070535A" w:rsidRPr="00A96A86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5396/90)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19 décembre 1990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2 avril 2004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19 mars 2002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5420 EUR/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8 novembre 2003</w:t>
            </w: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514BE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94209D" w:rsidTr="00A96A8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94209D">
              <w:rPr>
                <w:b/>
                <w:color w:val="000000"/>
                <w:sz w:val="20"/>
                <w:lang w:val="it-IT"/>
              </w:rPr>
              <w:t>19911/03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94209D">
              <w:rPr>
                <w:b/>
                <w:sz w:val="20"/>
                <w:lang w:val="it-IT"/>
              </w:rPr>
              <w:t>Iavarone c. 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30/10/1998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bookmarkStart w:id="7" w:name="OLE_LINK15"/>
            <w:bookmarkStart w:id="8" w:name="OLE_LINK16"/>
            <w:r w:rsidRPr="0094209D">
              <w:rPr>
                <w:sz w:val="20"/>
              </w:rPr>
              <w:t>Bruno IAVARONE, ressortissant italien, né en 19</w:t>
            </w:r>
            <w:bookmarkEnd w:id="7"/>
            <w:bookmarkEnd w:id="8"/>
            <w:r w:rsidRPr="0094209D">
              <w:rPr>
                <w:sz w:val="20"/>
              </w:rPr>
              <w:t>55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EF6408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10 ans et 6</w:t>
            </w:r>
            <w:r w:rsidR="00EF6408">
              <w:rPr>
                <w:sz w:val="20"/>
              </w:rPr>
              <w:t> </w:t>
            </w:r>
            <w:r w:rsidRPr="0094209D">
              <w:rPr>
                <w:sz w:val="20"/>
              </w:rPr>
              <w:t xml:space="preserve">mois pour un degré de juridiction 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70535A" w:rsidRPr="00202D50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  <w:r w:rsidRPr="00202D50">
              <w:rPr>
                <w:color w:val="000000"/>
                <w:sz w:val="20"/>
                <w:lang w:val="fr-FR"/>
              </w:rPr>
              <w:t>Obtention d</w:t>
            </w:r>
            <w:r w:rsidR="00202D50" w:rsidRPr="00202D50">
              <w:rPr>
                <w:color w:val="000000"/>
                <w:sz w:val="20"/>
                <w:lang w:val="fr-FR"/>
              </w:rPr>
              <w:t>’</w:t>
            </w:r>
            <w:r w:rsidRPr="00202D50">
              <w:rPr>
                <w:color w:val="000000"/>
                <w:sz w:val="20"/>
                <w:lang w:val="fr-FR"/>
              </w:rPr>
              <w:t>une injonction de paiement</w:t>
            </w:r>
          </w:p>
          <w:p w:rsidR="0070535A" w:rsidRPr="00202D50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3877/92)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7 novembre 1992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22 mai 2003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45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26 mars 2002</w:t>
            </w:r>
          </w:p>
        </w:tc>
        <w:tc>
          <w:tcPr>
            <w:tcW w:w="714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2 582 EUR/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10 novembre 2003</w:t>
            </w:r>
          </w:p>
          <w:p w:rsidR="0070535A" w:rsidRPr="0094209D" w:rsidRDefault="0070535A" w:rsidP="00A96A86">
            <w:pPr>
              <w:pStyle w:val="ECHRPara"/>
              <w:ind w:firstLine="0"/>
              <w:rPr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94209D" w:rsidTr="00A96A8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94209D">
              <w:rPr>
                <w:b/>
                <w:color w:val="000000"/>
                <w:sz w:val="20"/>
                <w:lang w:val="it-IT"/>
              </w:rPr>
              <w:t>19915/03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94209D">
              <w:rPr>
                <w:b/>
                <w:sz w:val="20"/>
                <w:lang w:val="it-IT"/>
              </w:rPr>
              <w:t>Tresoldi c. Italie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05/01/1999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  <w:r w:rsidRPr="0094209D">
              <w:rPr>
                <w:sz w:val="20"/>
                <w:lang w:val="it-IT"/>
              </w:rPr>
              <w:t>Italo TRESOLDI, ressortissant italien, né en 1946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EF6408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19 ans et 5</w:t>
            </w:r>
            <w:r w:rsidR="00EF6408">
              <w:rPr>
                <w:sz w:val="20"/>
              </w:rPr>
              <w:t> </w:t>
            </w:r>
            <w:r w:rsidRPr="0094209D">
              <w:rPr>
                <w:sz w:val="20"/>
              </w:rPr>
              <w:t>mois 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Pr="00A96A86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  <w:r w:rsidRPr="00A96A86">
              <w:rPr>
                <w:color w:val="000000"/>
                <w:sz w:val="20"/>
                <w:lang w:val="fr-FR"/>
              </w:rPr>
              <w:t>Droit à l</w:t>
            </w:r>
            <w:r w:rsidR="00202D50">
              <w:rPr>
                <w:color w:val="000000"/>
                <w:sz w:val="20"/>
                <w:lang w:val="fr-FR"/>
              </w:rPr>
              <w:t>’</w:t>
            </w:r>
            <w:r w:rsidRPr="00A96A86">
              <w:rPr>
                <w:color w:val="000000"/>
                <w:sz w:val="20"/>
                <w:lang w:val="fr-FR"/>
              </w:rPr>
              <w:t>assignation de certains biens détenus en indivision</w:t>
            </w:r>
          </w:p>
          <w:p w:rsidR="0070535A" w:rsidRPr="00A96A86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  <w:lang w:val="fr-FR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1993/85)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11 juin 1985</w:t>
            </w:r>
          </w:p>
          <w:p w:rsidR="0070535A" w:rsidRPr="0094209D" w:rsidRDefault="0070535A" w:rsidP="00A96A86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25 novembre 2004</w:t>
            </w:r>
          </w:p>
        </w:tc>
        <w:tc>
          <w:tcPr>
            <w:tcW w:w="45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 18 mars 2002</w:t>
            </w:r>
          </w:p>
        </w:tc>
        <w:tc>
          <w:tcPr>
            <w:tcW w:w="714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 xml:space="preserve"> 2 950 EUR/</w:t>
            </w: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7 novembre 2003</w:t>
            </w:r>
          </w:p>
          <w:p w:rsidR="0070535A" w:rsidRPr="0094209D" w:rsidRDefault="0070535A" w:rsidP="00A96A86">
            <w:pPr>
              <w:pStyle w:val="ECHRPara"/>
              <w:ind w:firstLine="0"/>
              <w:rPr>
                <w:sz w:val="20"/>
              </w:rPr>
            </w:pPr>
          </w:p>
          <w:p w:rsidR="0070535A" w:rsidRPr="0094209D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70535A" w:rsidRPr="00E50FE5" w:rsidTr="00A96A86">
        <w:trPr>
          <w:cantSplit/>
        </w:trPr>
        <w:tc>
          <w:tcPr>
            <w:tcW w:w="723" w:type="pct"/>
            <w:shd w:val="clear" w:color="auto" w:fill="auto"/>
            <w:vAlign w:val="center"/>
          </w:tcPr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color w:val="000000"/>
                <w:sz w:val="20"/>
              </w:rPr>
              <w:t>20114/03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b/>
                <w:sz w:val="20"/>
              </w:rPr>
            </w:pPr>
            <w:r w:rsidRPr="0094209D">
              <w:rPr>
                <w:b/>
                <w:sz w:val="20"/>
              </w:rPr>
              <w:t>Imberti c. Italie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94209D">
              <w:rPr>
                <w:color w:val="000000"/>
                <w:sz w:val="20"/>
                <w:lang w:val="it-IT"/>
              </w:rPr>
              <w:t>Introduite le 27/06/2000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Martino IMBERTI, ressortissant italien, né en 1942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0535A" w:rsidRPr="0094209D" w:rsidRDefault="0070535A" w:rsidP="00EF6408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ans et 11</w:t>
            </w:r>
            <w:r w:rsidR="00EF6408">
              <w:rPr>
                <w:sz w:val="20"/>
              </w:rPr>
              <w:t> </w:t>
            </w:r>
            <w:r w:rsidRPr="0094209D">
              <w:rPr>
                <w:sz w:val="20"/>
              </w:rPr>
              <w:t>mois pour un degré de juridiction</w:t>
            </w:r>
          </w:p>
        </w:tc>
        <w:tc>
          <w:tcPr>
            <w:tcW w:w="136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keepNext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Objet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Pr="00A96A86" w:rsidRDefault="0070535A" w:rsidP="00A96A86">
            <w:pPr>
              <w:pStyle w:val="ECHRPara"/>
              <w:keepNext/>
              <w:ind w:firstLine="0"/>
              <w:jc w:val="left"/>
              <w:rPr>
                <w:color w:val="000000"/>
                <w:sz w:val="20"/>
                <w:lang w:val="fr-FR"/>
              </w:rPr>
            </w:pPr>
            <w:r w:rsidRPr="00A96A86">
              <w:rPr>
                <w:color w:val="000000"/>
                <w:sz w:val="20"/>
                <w:lang w:val="fr-FR"/>
              </w:rPr>
              <w:t>Droit à la démolition d</w:t>
            </w:r>
            <w:r w:rsidR="00202D50">
              <w:rPr>
                <w:color w:val="000000"/>
                <w:sz w:val="20"/>
                <w:lang w:val="fr-FR"/>
              </w:rPr>
              <w:t>’</w:t>
            </w:r>
            <w:r w:rsidRPr="00A96A86">
              <w:rPr>
                <w:color w:val="000000"/>
                <w:sz w:val="20"/>
                <w:lang w:val="fr-FR"/>
              </w:rPr>
              <w:t>un immeuble et réparation des dommages subis</w:t>
            </w:r>
          </w:p>
          <w:p w:rsidR="0070535A" w:rsidRPr="00A96A86" w:rsidRDefault="0070535A" w:rsidP="00A96A86">
            <w:pPr>
              <w:pStyle w:val="ECHRPara"/>
              <w:keepNext/>
              <w:ind w:firstLine="0"/>
              <w:jc w:val="left"/>
              <w:rPr>
                <w:color w:val="000000"/>
                <w:sz w:val="20"/>
                <w:lang w:val="fr-FR"/>
              </w:rPr>
            </w:pPr>
          </w:p>
          <w:p w:rsidR="0070535A" w:rsidRPr="0094209D" w:rsidRDefault="0070535A" w:rsidP="00A96A86">
            <w:pPr>
              <w:pStyle w:val="ECHRPara"/>
              <w:keepNext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94209D">
              <w:rPr>
                <w:color w:val="000000"/>
                <w:sz w:val="20"/>
              </w:rPr>
              <w:t> :</w:t>
            </w:r>
          </w:p>
          <w:p w:rsidR="00A96A86" w:rsidRDefault="0070535A" w:rsidP="00202D50">
            <w:pPr>
              <w:pStyle w:val="ECHRPara"/>
              <w:keepNext/>
              <w:numPr>
                <w:ilvl w:val="0"/>
                <w:numId w:val="13"/>
              </w:numPr>
              <w:suppressAutoHyphens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 Tribunal de Bergame</w:t>
            </w:r>
          </w:p>
          <w:p w:rsidR="0070535A" w:rsidRPr="0094209D" w:rsidRDefault="0070535A" w:rsidP="00A96A86">
            <w:pPr>
              <w:pStyle w:val="ECHRPara"/>
              <w:keepNext/>
              <w:suppressAutoHyphens/>
              <w:ind w:left="360"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>(n. R.G. 2787/95)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left"/>
              <w:rPr>
                <w:color w:val="000000"/>
                <w:sz w:val="20"/>
              </w:rPr>
            </w:pPr>
          </w:p>
          <w:p w:rsidR="0070535A" w:rsidRPr="0094209D" w:rsidRDefault="0070535A" w:rsidP="00A96A86">
            <w:pPr>
              <w:pStyle w:val="ECHRPara"/>
              <w:keepNext/>
              <w:ind w:firstLine="0"/>
              <w:jc w:val="left"/>
              <w:rPr>
                <w:color w:val="000000"/>
                <w:sz w:val="20"/>
              </w:rPr>
            </w:pPr>
            <w:r w:rsidRPr="0094209D">
              <w:rPr>
                <w:color w:val="000000"/>
                <w:sz w:val="20"/>
              </w:rPr>
              <w:t xml:space="preserve">Début de la procédure: </w:t>
            </w:r>
            <w:r w:rsidRPr="0094209D">
              <w:rPr>
                <w:b/>
                <w:color w:val="000000"/>
                <w:sz w:val="20"/>
                <w:u w:val="single"/>
              </w:rPr>
              <w:t>26 juin 1995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94209D">
              <w:rPr>
                <w:color w:val="000000"/>
                <w:sz w:val="20"/>
              </w:rPr>
              <w:t xml:space="preserve">Fin de la procédure : </w:t>
            </w:r>
            <w:r w:rsidRPr="0094209D">
              <w:rPr>
                <w:b/>
                <w:color w:val="000000"/>
                <w:sz w:val="20"/>
                <w:u w:val="single"/>
              </w:rPr>
              <w:t>8 juin 2001</w:t>
            </w:r>
          </w:p>
        </w:tc>
        <w:tc>
          <w:tcPr>
            <w:tcW w:w="453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Venise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</w:p>
        </w:tc>
        <w:tc>
          <w:tcPr>
            <w:tcW w:w="668" w:type="pct"/>
          </w:tcPr>
          <w:p w:rsidR="00A96A86" w:rsidRDefault="0070535A" w:rsidP="00A96A86">
            <w:pPr>
              <w:pStyle w:val="ECHRPara"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5 janvier 2002 /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18 mars 2002</w:t>
            </w:r>
          </w:p>
        </w:tc>
        <w:tc>
          <w:tcPr>
            <w:tcW w:w="714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17 septembre 2002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</w:p>
        </w:tc>
        <w:tc>
          <w:tcPr>
            <w:tcW w:w="628" w:type="pct"/>
            <w:shd w:val="clear" w:color="auto" w:fill="auto"/>
          </w:tcPr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 xml:space="preserve"> 775 EUR/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  <w:r w:rsidRPr="0094209D">
              <w:rPr>
                <w:sz w:val="20"/>
              </w:rPr>
              <w:t>10 novembre 2003</w:t>
            </w:r>
          </w:p>
          <w:p w:rsidR="0070535A" w:rsidRPr="0094209D" w:rsidRDefault="0070535A" w:rsidP="00A96A86">
            <w:pPr>
              <w:pStyle w:val="ECHRPara"/>
              <w:keepNext/>
              <w:ind w:firstLine="0"/>
              <w:rPr>
                <w:sz w:val="20"/>
              </w:rPr>
            </w:pPr>
          </w:p>
          <w:p w:rsidR="0070535A" w:rsidRPr="0094209D" w:rsidRDefault="0070535A" w:rsidP="00A96A86">
            <w:pPr>
              <w:pStyle w:val="ECHRPara"/>
              <w:keepNext/>
              <w:ind w:firstLine="0"/>
              <w:jc w:val="center"/>
              <w:rPr>
                <w:sz w:val="20"/>
              </w:rPr>
            </w:pPr>
          </w:p>
        </w:tc>
      </w:tr>
    </w:tbl>
    <w:p w:rsidR="0070535A" w:rsidRPr="007C6318" w:rsidRDefault="0070535A" w:rsidP="0070535A">
      <w:pPr>
        <w:pStyle w:val="ECHRPara"/>
      </w:pPr>
    </w:p>
    <w:sectPr w:rsidR="0070535A" w:rsidRPr="007C6318" w:rsidSect="00E9002B">
      <w:headerReference w:type="even" r:id="rId14"/>
      <w:headerReference w:type="default" r:id="rId15"/>
      <w:footnotePr>
        <w:numRestart w:val="eachPage"/>
      </w:footnotePr>
      <w:pgSz w:w="16838" w:h="11906" w:orient="landscape" w:code="9"/>
      <w:pgMar w:top="2274" w:right="2274" w:bottom="1843" w:left="2274" w:header="1701" w:footer="720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86" w:rsidRDefault="00A96A86">
      <w:r>
        <w:separator/>
      </w:r>
    </w:p>
  </w:endnote>
  <w:endnote w:type="continuationSeparator" w:id="0">
    <w:p w:rsidR="00A96A86" w:rsidRDefault="00A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Pr="00150BFA" w:rsidRDefault="00A96A86" w:rsidP="00A96A86">
    <w:pPr>
      <w:jc w:val="center"/>
    </w:pPr>
    <w:r>
      <w:rPr>
        <w:noProof/>
        <w:lang w:eastAsia="ja-JP"/>
      </w:rPr>
      <w:drawing>
        <wp:inline distT="0" distB="0" distL="0" distR="0" wp14:anchorId="570A80EE" wp14:editId="4901203F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A86" w:rsidRDefault="00A9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86" w:rsidRDefault="00A96A86">
      <w:r>
        <w:separator/>
      </w:r>
    </w:p>
  </w:footnote>
  <w:footnote w:type="continuationSeparator" w:id="0">
    <w:p w:rsidR="00A96A86" w:rsidRDefault="00A9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Pr="00EE125E" w:rsidRDefault="00A96A86" w:rsidP="00EE125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Pr="00A45145" w:rsidRDefault="00A96A86" w:rsidP="00A96A86">
    <w:pPr>
      <w:jc w:val="center"/>
    </w:pPr>
    <w:r>
      <w:rPr>
        <w:noProof/>
        <w:lang w:eastAsia="ja-JP"/>
      </w:rPr>
      <w:drawing>
        <wp:inline distT="0" distB="0" distL="0" distR="0" wp14:anchorId="11687CFE" wp14:editId="708FE5C7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A86" w:rsidRDefault="00A96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18814775"/>
      <w:docPartObj>
        <w:docPartGallery w:val="Page Numbers (Top of Page)"/>
        <w:docPartUnique/>
      </w:docPartObj>
    </w:sdtPr>
    <w:sdtEndPr/>
    <w:sdtContent>
      <w:p w:rsidR="00A96A86" w:rsidRPr="00A96A86" w:rsidRDefault="00A96A86" w:rsidP="00A96A86">
        <w:pPr>
          <w:pStyle w:val="Header"/>
          <w:tabs>
            <w:tab w:val="clear" w:pos="4536"/>
            <w:tab w:val="clear" w:pos="9072"/>
            <w:tab w:val="center" w:pos="3828"/>
            <w:tab w:val="right" w:pos="7371"/>
          </w:tabs>
          <w:rPr>
            <w:sz w:val="20"/>
            <w:szCs w:val="20"/>
            <w:lang w:val="fr-FR"/>
          </w:rPr>
        </w:pPr>
        <w:r w:rsidRPr="00A96A86">
          <w:rPr>
            <w:sz w:val="20"/>
            <w:szCs w:val="20"/>
          </w:rPr>
          <w:fldChar w:fldCharType="begin"/>
        </w:r>
        <w:r w:rsidRPr="00A96A86">
          <w:rPr>
            <w:sz w:val="20"/>
            <w:szCs w:val="20"/>
            <w:lang w:val="fr-FR"/>
          </w:rPr>
          <w:instrText xml:space="preserve"> PAGE </w:instrText>
        </w:r>
        <w:r w:rsidRPr="00A96A86">
          <w:rPr>
            <w:sz w:val="20"/>
            <w:szCs w:val="20"/>
          </w:rPr>
          <w:fldChar w:fldCharType="separate"/>
        </w:r>
        <w:r w:rsidR="00E86D85">
          <w:rPr>
            <w:noProof/>
            <w:sz w:val="20"/>
            <w:szCs w:val="20"/>
            <w:lang w:val="fr-FR"/>
          </w:rPr>
          <w:t>15</w:t>
        </w:r>
        <w:r w:rsidRPr="00A96A86">
          <w:rPr>
            <w:sz w:val="20"/>
            <w:szCs w:val="20"/>
          </w:rPr>
          <w:fldChar w:fldCharType="end"/>
        </w:r>
        <w:r w:rsidRPr="00A96A86">
          <w:rPr>
            <w:sz w:val="20"/>
            <w:szCs w:val="20"/>
            <w:lang w:val="fr-FR"/>
          </w:rPr>
          <w:tab/>
          <w:t>ARRÊT ZUCCHINALI ET AUTRES c. ITALIE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Pr="00A96A86" w:rsidRDefault="00E86D85" w:rsidP="00A96A86">
    <w:pPr>
      <w:pStyle w:val="Header"/>
      <w:tabs>
        <w:tab w:val="clear" w:pos="4536"/>
        <w:tab w:val="clear" w:pos="9072"/>
        <w:tab w:val="center" w:pos="3686"/>
        <w:tab w:val="right" w:pos="7371"/>
        <w:tab w:val="right" w:pos="12333"/>
      </w:tabs>
      <w:ind w:firstLine="1412"/>
      <w:jc w:val="center"/>
      <w:rPr>
        <w:sz w:val="20"/>
        <w:szCs w:val="20"/>
        <w:lang w:val="fr-FR"/>
      </w:rPr>
    </w:pPr>
    <w:sdt>
      <w:sdtPr>
        <w:rPr>
          <w:sz w:val="20"/>
          <w:szCs w:val="20"/>
        </w:rPr>
        <w:id w:val="-318970480"/>
        <w:docPartObj>
          <w:docPartGallery w:val="Page Numbers (Top of Page)"/>
          <w:docPartUnique/>
        </w:docPartObj>
      </w:sdtPr>
      <w:sdtEndPr/>
      <w:sdtContent>
        <w:r w:rsidR="00A96A86" w:rsidRPr="00A96A86">
          <w:rPr>
            <w:sz w:val="20"/>
            <w:szCs w:val="20"/>
            <w:lang w:val="fr-FR"/>
          </w:rPr>
          <w:t>ARRÊT ZUCCHINALI ET AUTRES c. ITALIE</w:t>
        </w:r>
        <w:r w:rsidR="00A96A86" w:rsidRPr="00A96A86">
          <w:rPr>
            <w:sz w:val="20"/>
            <w:szCs w:val="20"/>
            <w:lang w:val="fr-FR"/>
          </w:rPr>
          <w:tab/>
        </w:r>
        <w:r w:rsidR="00A96A86" w:rsidRPr="00A96A86">
          <w:rPr>
            <w:sz w:val="20"/>
            <w:szCs w:val="20"/>
          </w:rPr>
          <w:fldChar w:fldCharType="begin"/>
        </w:r>
        <w:r w:rsidR="00A96A86" w:rsidRPr="00A96A86">
          <w:rPr>
            <w:sz w:val="20"/>
            <w:szCs w:val="20"/>
            <w:lang w:val="fr-FR"/>
          </w:rPr>
          <w:instrText xml:space="preserve"> PAGE </w:instrText>
        </w:r>
        <w:r w:rsidR="00A96A86" w:rsidRPr="00A96A8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  <w:lang w:val="fr-FR"/>
          </w:rPr>
          <w:t>15</w:t>
        </w:r>
        <w:r w:rsidR="00A96A86" w:rsidRPr="00A96A86">
          <w:rPr>
            <w:sz w:val="20"/>
            <w:szCs w:val="20"/>
          </w:rPr>
          <w:fldChar w:fldCharType="end"/>
        </w:r>
      </w:sdtContent>
    </w:sdt>
  </w:p>
  <w:p w:rsidR="00A96A86" w:rsidRPr="00A96A86" w:rsidRDefault="00A96A86" w:rsidP="00C03DE4">
    <w:pPr>
      <w:tabs>
        <w:tab w:val="center" w:pos="3402"/>
        <w:tab w:val="right" w:pos="12333"/>
      </w:tabs>
      <w:jc w:val="center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52609302"/>
      <w:docPartObj>
        <w:docPartGallery w:val="Page Numbers (Top of Page)"/>
        <w:docPartUnique/>
      </w:docPartObj>
    </w:sdtPr>
    <w:sdtEndPr/>
    <w:sdtContent>
      <w:p w:rsidR="00A96A86" w:rsidRPr="00202D50" w:rsidRDefault="00A96A86" w:rsidP="00202D50">
        <w:pPr>
          <w:pStyle w:val="Header"/>
          <w:tabs>
            <w:tab w:val="clear" w:pos="4536"/>
            <w:tab w:val="center" w:pos="6237"/>
          </w:tabs>
          <w:rPr>
            <w:sz w:val="20"/>
            <w:szCs w:val="20"/>
            <w:lang w:val="fr-FR"/>
          </w:rPr>
        </w:pPr>
        <w:r w:rsidRPr="00A96A86">
          <w:rPr>
            <w:sz w:val="20"/>
            <w:szCs w:val="20"/>
          </w:rPr>
          <w:fldChar w:fldCharType="begin"/>
        </w:r>
        <w:r w:rsidRPr="00202D50">
          <w:rPr>
            <w:sz w:val="20"/>
            <w:szCs w:val="20"/>
            <w:lang w:val="fr-FR"/>
          </w:rPr>
          <w:instrText xml:space="preserve"> PAGE </w:instrText>
        </w:r>
        <w:r w:rsidRPr="00A96A86">
          <w:rPr>
            <w:sz w:val="20"/>
            <w:szCs w:val="20"/>
          </w:rPr>
          <w:fldChar w:fldCharType="separate"/>
        </w:r>
        <w:r w:rsidR="00E86D85">
          <w:rPr>
            <w:noProof/>
            <w:sz w:val="20"/>
            <w:szCs w:val="20"/>
            <w:lang w:val="fr-FR"/>
          </w:rPr>
          <w:t>15</w:t>
        </w:r>
        <w:r w:rsidRPr="00A96A86">
          <w:rPr>
            <w:sz w:val="20"/>
            <w:szCs w:val="20"/>
          </w:rPr>
          <w:fldChar w:fldCharType="end"/>
        </w:r>
        <w:r w:rsidRPr="00202D50">
          <w:rPr>
            <w:sz w:val="20"/>
            <w:szCs w:val="20"/>
            <w:lang w:val="fr-FR"/>
          </w:rPr>
          <w:tab/>
          <w:t>ARRÊT ZUCCHINALI ET AUTRES c. ITALIE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86" w:rsidRPr="00202D50" w:rsidRDefault="00E86D85" w:rsidP="00202D50">
    <w:pPr>
      <w:pStyle w:val="Header"/>
      <w:tabs>
        <w:tab w:val="clear" w:pos="4536"/>
        <w:tab w:val="clear" w:pos="9072"/>
        <w:tab w:val="center" w:pos="5954"/>
        <w:tab w:val="right" w:pos="12333"/>
      </w:tabs>
      <w:ind w:firstLine="3530"/>
      <w:jc w:val="center"/>
      <w:rPr>
        <w:sz w:val="20"/>
        <w:szCs w:val="20"/>
        <w:lang w:val="fr-FR"/>
      </w:rPr>
    </w:pPr>
    <w:sdt>
      <w:sdtPr>
        <w:rPr>
          <w:sz w:val="20"/>
          <w:szCs w:val="20"/>
        </w:rPr>
        <w:id w:val="-1434047673"/>
        <w:docPartObj>
          <w:docPartGallery w:val="Page Numbers (Top of Page)"/>
          <w:docPartUnique/>
        </w:docPartObj>
      </w:sdtPr>
      <w:sdtEndPr/>
      <w:sdtContent>
        <w:r w:rsidR="00A96A86" w:rsidRPr="00202D50">
          <w:rPr>
            <w:sz w:val="20"/>
            <w:szCs w:val="20"/>
            <w:lang w:val="fr-FR"/>
          </w:rPr>
          <w:t xml:space="preserve">ARRÊT ZUCCHINALI ET AUTRES c. </w:t>
        </w:r>
        <w:r w:rsidR="00202D50">
          <w:rPr>
            <w:sz w:val="20"/>
            <w:szCs w:val="20"/>
            <w:lang w:val="fr-FR"/>
          </w:rPr>
          <w:t>ITALIE</w:t>
        </w:r>
        <w:r w:rsidR="00202D50">
          <w:rPr>
            <w:sz w:val="20"/>
            <w:szCs w:val="20"/>
            <w:lang w:val="fr-FR"/>
          </w:rPr>
          <w:tab/>
        </w:r>
        <w:r w:rsidR="00A96A86" w:rsidRPr="00202D50">
          <w:rPr>
            <w:sz w:val="20"/>
            <w:szCs w:val="20"/>
          </w:rPr>
          <w:fldChar w:fldCharType="begin"/>
        </w:r>
        <w:r w:rsidR="00A96A86" w:rsidRPr="00202D50">
          <w:rPr>
            <w:sz w:val="20"/>
            <w:szCs w:val="20"/>
            <w:lang w:val="fr-FR"/>
          </w:rPr>
          <w:instrText xml:space="preserve"> PAGE </w:instrText>
        </w:r>
        <w:r w:rsidR="00A96A86" w:rsidRPr="00202D5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  <w:lang w:val="fr-FR"/>
          </w:rPr>
          <w:t>15</w:t>
        </w:r>
        <w:r w:rsidR="00A96A86" w:rsidRPr="00202D50"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706E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7244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CAC1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885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E0C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A7F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284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6D2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C97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DA5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0108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923D5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2B33995"/>
    <w:multiLevelType w:val="hybridMultilevel"/>
    <w:tmpl w:val="10D05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40E2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01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911310"/>
    <w:multiLevelType w:val="hybridMultilevel"/>
    <w:tmpl w:val="EA66E996"/>
    <w:lvl w:ilvl="0" w:tplc="E5A463A0">
      <w:start w:val="1"/>
      <w:numFmt w:val="low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2992E53"/>
    <w:multiLevelType w:val="hybridMultilevel"/>
    <w:tmpl w:val="B164FB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fr-FR" w:vendorID="9" w:dllVersion="512" w:checkStyle="1"/>
  <w:activeWritingStyle w:appName="MSWord" w:lang="pt-PT" w:vendorID="13" w:dllVersion="513" w:checkStyle="1"/>
  <w:activeWritingStyle w:appName="MSWord" w:lang="it-IT" w:vendorID="3" w:dllVersion="517" w:checkStyle="1"/>
  <w:proofState w:spelling="clean" w:grammar="clean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1F5003"/>
    <w:rsid w:val="00000BC0"/>
    <w:rsid w:val="000058A2"/>
    <w:rsid w:val="00005B24"/>
    <w:rsid w:val="00010F97"/>
    <w:rsid w:val="00011B3D"/>
    <w:rsid w:val="00013A3A"/>
    <w:rsid w:val="00013F21"/>
    <w:rsid w:val="00017E56"/>
    <w:rsid w:val="00020F9B"/>
    <w:rsid w:val="00030607"/>
    <w:rsid w:val="00035A4C"/>
    <w:rsid w:val="00037E2A"/>
    <w:rsid w:val="00041F0C"/>
    <w:rsid w:val="00051A4D"/>
    <w:rsid w:val="00051EAA"/>
    <w:rsid w:val="00053642"/>
    <w:rsid w:val="000557A1"/>
    <w:rsid w:val="00056926"/>
    <w:rsid w:val="0005708F"/>
    <w:rsid w:val="00060A04"/>
    <w:rsid w:val="00061970"/>
    <w:rsid w:val="00061D2D"/>
    <w:rsid w:val="00064577"/>
    <w:rsid w:val="00064EDE"/>
    <w:rsid w:val="0006509E"/>
    <w:rsid w:val="00066BBC"/>
    <w:rsid w:val="00070168"/>
    <w:rsid w:val="000830D8"/>
    <w:rsid w:val="0008750A"/>
    <w:rsid w:val="000878BD"/>
    <w:rsid w:val="0009193D"/>
    <w:rsid w:val="00096C75"/>
    <w:rsid w:val="00097140"/>
    <w:rsid w:val="000A1E86"/>
    <w:rsid w:val="000A211B"/>
    <w:rsid w:val="000B23AD"/>
    <w:rsid w:val="000B2E23"/>
    <w:rsid w:val="000B3D74"/>
    <w:rsid w:val="000B4B16"/>
    <w:rsid w:val="000B5E12"/>
    <w:rsid w:val="000C15C3"/>
    <w:rsid w:val="000C19B8"/>
    <w:rsid w:val="000C41C6"/>
    <w:rsid w:val="000C4EE2"/>
    <w:rsid w:val="000D150A"/>
    <w:rsid w:val="000D777D"/>
    <w:rsid w:val="000E3006"/>
    <w:rsid w:val="000E49B5"/>
    <w:rsid w:val="000F3493"/>
    <w:rsid w:val="000F361D"/>
    <w:rsid w:val="00110649"/>
    <w:rsid w:val="00110F5A"/>
    <w:rsid w:val="001125EC"/>
    <w:rsid w:val="0011348D"/>
    <w:rsid w:val="00113E55"/>
    <w:rsid w:val="001173DF"/>
    <w:rsid w:val="00117A32"/>
    <w:rsid w:val="00125B61"/>
    <w:rsid w:val="00126BE8"/>
    <w:rsid w:val="00126D8D"/>
    <w:rsid w:val="00132A3A"/>
    <w:rsid w:val="00132CF9"/>
    <w:rsid w:val="00134BFD"/>
    <w:rsid w:val="00135299"/>
    <w:rsid w:val="00137093"/>
    <w:rsid w:val="00143EE7"/>
    <w:rsid w:val="00145B2A"/>
    <w:rsid w:val="00150D2D"/>
    <w:rsid w:val="00151299"/>
    <w:rsid w:val="00156133"/>
    <w:rsid w:val="00156727"/>
    <w:rsid w:val="00157009"/>
    <w:rsid w:val="0016047E"/>
    <w:rsid w:val="00162DFC"/>
    <w:rsid w:val="00170DE3"/>
    <w:rsid w:val="00173482"/>
    <w:rsid w:val="001748B4"/>
    <w:rsid w:val="00174EFA"/>
    <w:rsid w:val="00175A01"/>
    <w:rsid w:val="001833E6"/>
    <w:rsid w:val="0018373D"/>
    <w:rsid w:val="00184347"/>
    <w:rsid w:val="00185E4F"/>
    <w:rsid w:val="001901CA"/>
    <w:rsid w:val="001910CE"/>
    <w:rsid w:val="00191E66"/>
    <w:rsid w:val="001928B2"/>
    <w:rsid w:val="0019663A"/>
    <w:rsid w:val="00196F8C"/>
    <w:rsid w:val="001A0ADA"/>
    <w:rsid w:val="001A1639"/>
    <w:rsid w:val="001A1987"/>
    <w:rsid w:val="001A4B9A"/>
    <w:rsid w:val="001A4DD4"/>
    <w:rsid w:val="001A73BE"/>
    <w:rsid w:val="001B2622"/>
    <w:rsid w:val="001B26BD"/>
    <w:rsid w:val="001B4E04"/>
    <w:rsid w:val="001B5D94"/>
    <w:rsid w:val="001C03B5"/>
    <w:rsid w:val="001C1519"/>
    <w:rsid w:val="001C2CA1"/>
    <w:rsid w:val="001C6ACE"/>
    <w:rsid w:val="001D1FA6"/>
    <w:rsid w:val="001D508C"/>
    <w:rsid w:val="001D5298"/>
    <w:rsid w:val="001D6461"/>
    <w:rsid w:val="001F2750"/>
    <w:rsid w:val="001F2A7D"/>
    <w:rsid w:val="001F5003"/>
    <w:rsid w:val="00200760"/>
    <w:rsid w:val="00200D9B"/>
    <w:rsid w:val="00202D50"/>
    <w:rsid w:val="00203660"/>
    <w:rsid w:val="0020440B"/>
    <w:rsid w:val="00205909"/>
    <w:rsid w:val="0020605C"/>
    <w:rsid w:val="002069C1"/>
    <w:rsid w:val="002103C6"/>
    <w:rsid w:val="00215B96"/>
    <w:rsid w:val="00222A63"/>
    <w:rsid w:val="0022570B"/>
    <w:rsid w:val="00225A8C"/>
    <w:rsid w:val="00226B0E"/>
    <w:rsid w:val="002305B3"/>
    <w:rsid w:val="00232CC6"/>
    <w:rsid w:val="00233BB2"/>
    <w:rsid w:val="00233FB3"/>
    <w:rsid w:val="00234423"/>
    <w:rsid w:val="0023609F"/>
    <w:rsid w:val="00240DEC"/>
    <w:rsid w:val="002437D0"/>
    <w:rsid w:val="0024477D"/>
    <w:rsid w:val="0024575C"/>
    <w:rsid w:val="00251535"/>
    <w:rsid w:val="00260004"/>
    <w:rsid w:val="00261340"/>
    <w:rsid w:val="00261A02"/>
    <w:rsid w:val="00266A68"/>
    <w:rsid w:val="00266BB1"/>
    <w:rsid w:val="002708BB"/>
    <w:rsid w:val="002719B0"/>
    <w:rsid w:val="002751F2"/>
    <w:rsid w:val="002817C8"/>
    <w:rsid w:val="0028318C"/>
    <w:rsid w:val="00283D07"/>
    <w:rsid w:val="002856F5"/>
    <w:rsid w:val="002908E7"/>
    <w:rsid w:val="00290F53"/>
    <w:rsid w:val="00290FED"/>
    <w:rsid w:val="00291FF0"/>
    <w:rsid w:val="00293BAD"/>
    <w:rsid w:val="00293FD5"/>
    <w:rsid w:val="00296176"/>
    <w:rsid w:val="00296188"/>
    <w:rsid w:val="0029720B"/>
    <w:rsid w:val="002A297B"/>
    <w:rsid w:val="002A7D92"/>
    <w:rsid w:val="002B2D59"/>
    <w:rsid w:val="002B4A9A"/>
    <w:rsid w:val="002B4B28"/>
    <w:rsid w:val="002B514D"/>
    <w:rsid w:val="002B7267"/>
    <w:rsid w:val="002C31BD"/>
    <w:rsid w:val="002D0060"/>
    <w:rsid w:val="002D2959"/>
    <w:rsid w:val="002D4A5F"/>
    <w:rsid w:val="002E061B"/>
    <w:rsid w:val="002E1A49"/>
    <w:rsid w:val="002E673E"/>
    <w:rsid w:val="002F039B"/>
    <w:rsid w:val="002F47D0"/>
    <w:rsid w:val="002F57EC"/>
    <w:rsid w:val="002F6423"/>
    <w:rsid w:val="002F6927"/>
    <w:rsid w:val="00300CCF"/>
    <w:rsid w:val="00304DCC"/>
    <w:rsid w:val="003121E0"/>
    <w:rsid w:val="00314972"/>
    <w:rsid w:val="00314995"/>
    <w:rsid w:val="00316836"/>
    <w:rsid w:val="00317B2D"/>
    <w:rsid w:val="00321083"/>
    <w:rsid w:val="00324817"/>
    <w:rsid w:val="003254C8"/>
    <w:rsid w:val="00327A51"/>
    <w:rsid w:val="003338B8"/>
    <w:rsid w:val="0033397D"/>
    <w:rsid w:val="0034017E"/>
    <w:rsid w:val="00340843"/>
    <w:rsid w:val="003411CA"/>
    <w:rsid w:val="003512ED"/>
    <w:rsid w:val="00351F05"/>
    <w:rsid w:val="003536F3"/>
    <w:rsid w:val="00354AC1"/>
    <w:rsid w:val="00364F36"/>
    <w:rsid w:val="00371AB6"/>
    <w:rsid w:val="003808A8"/>
    <w:rsid w:val="00380F17"/>
    <w:rsid w:val="00383861"/>
    <w:rsid w:val="003871AC"/>
    <w:rsid w:val="00387AED"/>
    <w:rsid w:val="00391068"/>
    <w:rsid w:val="003922C4"/>
    <w:rsid w:val="0039304E"/>
    <w:rsid w:val="00393503"/>
    <w:rsid w:val="00394049"/>
    <w:rsid w:val="00394C18"/>
    <w:rsid w:val="003A0B58"/>
    <w:rsid w:val="003A3B15"/>
    <w:rsid w:val="003A5528"/>
    <w:rsid w:val="003B09C2"/>
    <w:rsid w:val="003B2096"/>
    <w:rsid w:val="003C51C3"/>
    <w:rsid w:val="003C5B75"/>
    <w:rsid w:val="003C5FFC"/>
    <w:rsid w:val="003C6DE5"/>
    <w:rsid w:val="003D01F0"/>
    <w:rsid w:val="003D03AF"/>
    <w:rsid w:val="003D5CAF"/>
    <w:rsid w:val="003D5ED2"/>
    <w:rsid w:val="003E3412"/>
    <w:rsid w:val="003E5620"/>
    <w:rsid w:val="003E7909"/>
    <w:rsid w:val="003F02DA"/>
    <w:rsid w:val="003F1631"/>
    <w:rsid w:val="003F4BBA"/>
    <w:rsid w:val="003F56FE"/>
    <w:rsid w:val="003F612D"/>
    <w:rsid w:val="003F7F0D"/>
    <w:rsid w:val="00402191"/>
    <w:rsid w:val="00402CD0"/>
    <w:rsid w:val="00403C08"/>
    <w:rsid w:val="00406BB8"/>
    <w:rsid w:val="0041110D"/>
    <w:rsid w:val="00411B9B"/>
    <w:rsid w:val="004139B5"/>
    <w:rsid w:val="00420491"/>
    <w:rsid w:val="00420AA1"/>
    <w:rsid w:val="004227A4"/>
    <w:rsid w:val="00424FFF"/>
    <w:rsid w:val="00433FB5"/>
    <w:rsid w:val="0043521A"/>
    <w:rsid w:val="00435580"/>
    <w:rsid w:val="00437AF0"/>
    <w:rsid w:val="00440A50"/>
    <w:rsid w:val="00445640"/>
    <w:rsid w:val="004459A7"/>
    <w:rsid w:val="00445EB0"/>
    <w:rsid w:val="0044656B"/>
    <w:rsid w:val="0045062A"/>
    <w:rsid w:val="00454A33"/>
    <w:rsid w:val="00454BCA"/>
    <w:rsid w:val="004559F3"/>
    <w:rsid w:val="00455FA9"/>
    <w:rsid w:val="00456372"/>
    <w:rsid w:val="004603A7"/>
    <w:rsid w:val="0046617C"/>
    <w:rsid w:val="00466790"/>
    <w:rsid w:val="00467411"/>
    <w:rsid w:val="00472249"/>
    <w:rsid w:val="00473833"/>
    <w:rsid w:val="0047446D"/>
    <w:rsid w:val="00474A54"/>
    <w:rsid w:val="004773F9"/>
    <w:rsid w:val="00480C59"/>
    <w:rsid w:val="00492D68"/>
    <w:rsid w:val="00495922"/>
    <w:rsid w:val="00495D7F"/>
    <w:rsid w:val="004A101C"/>
    <w:rsid w:val="004B15B8"/>
    <w:rsid w:val="004B1C8D"/>
    <w:rsid w:val="004B1E43"/>
    <w:rsid w:val="004B39FA"/>
    <w:rsid w:val="004B3ADB"/>
    <w:rsid w:val="004B6FEF"/>
    <w:rsid w:val="004C106F"/>
    <w:rsid w:val="004C1E2F"/>
    <w:rsid w:val="004C371C"/>
    <w:rsid w:val="004C55C9"/>
    <w:rsid w:val="004D0372"/>
    <w:rsid w:val="004D354A"/>
    <w:rsid w:val="004D3FCF"/>
    <w:rsid w:val="004D667A"/>
    <w:rsid w:val="004E1E64"/>
    <w:rsid w:val="004E2732"/>
    <w:rsid w:val="004E2B64"/>
    <w:rsid w:val="004E3B68"/>
    <w:rsid w:val="004F07CE"/>
    <w:rsid w:val="004F0E8B"/>
    <w:rsid w:val="004F12D1"/>
    <w:rsid w:val="004F48E2"/>
    <w:rsid w:val="004F669D"/>
    <w:rsid w:val="00501ECD"/>
    <w:rsid w:val="00504A00"/>
    <w:rsid w:val="00510CFF"/>
    <w:rsid w:val="00514BE6"/>
    <w:rsid w:val="00516B84"/>
    <w:rsid w:val="00516EE4"/>
    <w:rsid w:val="005215F3"/>
    <w:rsid w:val="00522F68"/>
    <w:rsid w:val="00526DC5"/>
    <w:rsid w:val="00530156"/>
    <w:rsid w:val="00530A29"/>
    <w:rsid w:val="00533371"/>
    <w:rsid w:val="005429CF"/>
    <w:rsid w:val="00545E1E"/>
    <w:rsid w:val="00545EAB"/>
    <w:rsid w:val="00551164"/>
    <w:rsid w:val="005553B7"/>
    <w:rsid w:val="00556798"/>
    <w:rsid w:val="00557983"/>
    <w:rsid w:val="00560BD2"/>
    <w:rsid w:val="00561E9B"/>
    <w:rsid w:val="005638D9"/>
    <w:rsid w:val="00565735"/>
    <w:rsid w:val="00565FA1"/>
    <w:rsid w:val="00567EBB"/>
    <w:rsid w:val="00570BA0"/>
    <w:rsid w:val="00574AD3"/>
    <w:rsid w:val="005760BA"/>
    <w:rsid w:val="00584342"/>
    <w:rsid w:val="00587050"/>
    <w:rsid w:val="0059029B"/>
    <w:rsid w:val="00591FE9"/>
    <w:rsid w:val="00592160"/>
    <w:rsid w:val="00593411"/>
    <w:rsid w:val="00597831"/>
    <w:rsid w:val="005A2B02"/>
    <w:rsid w:val="005A3BBB"/>
    <w:rsid w:val="005A6F8E"/>
    <w:rsid w:val="005B3996"/>
    <w:rsid w:val="005B514D"/>
    <w:rsid w:val="005B61B3"/>
    <w:rsid w:val="005C17A1"/>
    <w:rsid w:val="005C380E"/>
    <w:rsid w:val="005C698B"/>
    <w:rsid w:val="005C6BC4"/>
    <w:rsid w:val="005D0A6F"/>
    <w:rsid w:val="005E00C7"/>
    <w:rsid w:val="005E28F2"/>
    <w:rsid w:val="005E46CB"/>
    <w:rsid w:val="005E5C3C"/>
    <w:rsid w:val="005F0BE7"/>
    <w:rsid w:val="005F0FAB"/>
    <w:rsid w:val="005F3946"/>
    <w:rsid w:val="005F4603"/>
    <w:rsid w:val="005F55D2"/>
    <w:rsid w:val="00602EE2"/>
    <w:rsid w:val="00603DFD"/>
    <w:rsid w:val="00610AF8"/>
    <w:rsid w:val="00612EFB"/>
    <w:rsid w:val="00612FA4"/>
    <w:rsid w:val="006155A7"/>
    <w:rsid w:val="0061793F"/>
    <w:rsid w:val="006226D4"/>
    <w:rsid w:val="006269F8"/>
    <w:rsid w:val="0062731C"/>
    <w:rsid w:val="0063030F"/>
    <w:rsid w:val="006307DB"/>
    <w:rsid w:val="00632A19"/>
    <w:rsid w:val="00635473"/>
    <w:rsid w:val="00637AE8"/>
    <w:rsid w:val="006447D3"/>
    <w:rsid w:val="006448A2"/>
    <w:rsid w:val="0064673E"/>
    <w:rsid w:val="006479EB"/>
    <w:rsid w:val="00653E4C"/>
    <w:rsid w:val="00653E95"/>
    <w:rsid w:val="00660672"/>
    <w:rsid w:val="00660C45"/>
    <w:rsid w:val="00660EFD"/>
    <w:rsid w:val="006650D7"/>
    <w:rsid w:val="006661DB"/>
    <w:rsid w:val="0067142D"/>
    <w:rsid w:val="00671A0F"/>
    <w:rsid w:val="0067328C"/>
    <w:rsid w:val="00676901"/>
    <w:rsid w:val="00677129"/>
    <w:rsid w:val="0067713F"/>
    <w:rsid w:val="00681033"/>
    <w:rsid w:val="0068144E"/>
    <w:rsid w:val="0068246F"/>
    <w:rsid w:val="006842E9"/>
    <w:rsid w:val="00685B30"/>
    <w:rsid w:val="00687189"/>
    <w:rsid w:val="0069139D"/>
    <w:rsid w:val="00695C63"/>
    <w:rsid w:val="006A0EB2"/>
    <w:rsid w:val="006A1A60"/>
    <w:rsid w:val="006A2F4F"/>
    <w:rsid w:val="006A3826"/>
    <w:rsid w:val="006A40C2"/>
    <w:rsid w:val="006A50ED"/>
    <w:rsid w:val="006B05D1"/>
    <w:rsid w:val="006B51C9"/>
    <w:rsid w:val="006B600C"/>
    <w:rsid w:val="006B7F7E"/>
    <w:rsid w:val="006C0EC1"/>
    <w:rsid w:val="006C219B"/>
    <w:rsid w:val="006C2A98"/>
    <w:rsid w:val="006C6392"/>
    <w:rsid w:val="006C766E"/>
    <w:rsid w:val="006D1505"/>
    <w:rsid w:val="006E13FB"/>
    <w:rsid w:val="006E5BB9"/>
    <w:rsid w:val="006F1211"/>
    <w:rsid w:val="006F2937"/>
    <w:rsid w:val="006F7215"/>
    <w:rsid w:val="007046F1"/>
    <w:rsid w:val="0070535A"/>
    <w:rsid w:val="0070642F"/>
    <w:rsid w:val="00707CD9"/>
    <w:rsid w:val="00711097"/>
    <w:rsid w:val="007129F1"/>
    <w:rsid w:val="0071333C"/>
    <w:rsid w:val="0071656D"/>
    <w:rsid w:val="00723A9D"/>
    <w:rsid w:val="007243C7"/>
    <w:rsid w:val="00725ADA"/>
    <w:rsid w:val="00734C83"/>
    <w:rsid w:val="0073557A"/>
    <w:rsid w:val="00737E6F"/>
    <w:rsid w:val="00740DE4"/>
    <w:rsid w:val="00741334"/>
    <w:rsid w:val="00741477"/>
    <w:rsid w:val="00742646"/>
    <w:rsid w:val="00745D2F"/>
    <w:rsid w:val="007475B0"/>
    <w:rsid w:val="00747623"/>
    <w:rsid w:val="00747896"/>
    <w:rsid w:val="00747FAF"/>
    <w:rsid w:val="007527CB"/>
    <w:rsid w:val="00753906"/>
    <w:rsid w:val="00754E44"/>
    <w:rsid w:val="00755656"/>
    <w:rsid w:val="00762FF8"/>
    <w:rsid w:val="007654E6"/>
    <w:rsid w:val="007656FE"/>
    <w:rsid w:val="00765846"/>
    <w:rsid w:val="007673B5"/>
    <w:rsid w:val="00767826"/>
    <w:rsid w:val="00767AC6"/>
    <w:rsid w:val="00767C0A"/>
    <w:rsid w:val="007709BC"/>
    <w:rsid w:val="00777179"/>
    <w:rsid w:val="00777A8E"/>
    <w:rsid w:val="0078087E"/>
    <w:rsid w:val="007831C6"/>
    <w:rsid w:val="007906B1"/>
    <w:rsid w:val="00790E3B"/>
    <w:rsid w:val="00792CF5"/>
    <w:rsid w:val="00794DC4"/>
    <w:rsid w:val="00797D41"/>
    <w:rsid w:val="007A079B"/>
    <w:rsid w:val="007A1C27"/>
    <w:rsid w:val="007A305E"/>
    <w:rsid w:val="007A4762"/>
    <w:rsid w:val="007B14A9"/>
    <w:rsid w:val="007B2115"/>
    <w:rsid w:val="007B5F76"/>
    <w:rsid w:val="007B77A9"/>
    <w:rsid w:val="007C05C4"/>
    <w:rsid w:val="007C1A00"/>
    <w:rsid w:val="007C2A0B"/>
    <w:rsid w:val="007C2DB4"/>
    <w:rsid w:val="007C6270"/>
    <w:rsid w:val="007C6318"/>
    <w:rsid w:val="007C6BAA"/>
    <w:rsid w:val="007D1D09"/>
    <w:rsid w:val="007D322B"/>
    <w:rsid w:val="007D3F5E"/>
    <w:rsid w:val="007D4041"/>
    <w:rsid w:val="007D4627"/>
    <w:rsid w:val="007E0FC2"/>
    <w:rsid w:val="007E260D"/>
    <w:rsid w:val="007E4C22"/>
    <w:rsid w:val="007E5D1D"/>
    <w:rsid w:val="007E7055"/>
    <w:rsid w:val="007F2D8D"/>
    <w:rsid w:val="007F32C4"/>
    <w:rsid w:val="007F4E88"/>
    <w:rsid w:val="007F7192"/>
    <w:rsid w:val="00803D10"/>
    <w:rsid w:val="00811819"/>
    <w:rsid w:val="00814B4F"/>
    <w:rsid w:val="0082175A"/>
    <w:rsid w:val="00825B77"/>
    <w:rsid w:val="00826D59"/>
    <w:rsid w:val="0083543B"/>
    <w:rsid w:val="008354E7"/>
    <w:rsid w:val="00835FFF"/>
    <w:rsid w:val="00836A90"/>
    <w:rsid w:val="00850C79"/>
    <w:rsid w:val="008513D0"/>
    <w:rsid w:val="00853540"/>
    <w:rsid w:val="008556D9"/>
    <w:rsid w:val="00864F96"/>
    <w:rsid w:val="008711F4"/>
    <w:rsid w:val="0087241A"/>
    <w:rsid w:val="00873596"/>
    <w:rsid w:val="00874249"/>
    <w:rsid w:val="00875073"/>
    <w:rsid w:val="00880094"/>
    <w:rsid w:val="0088632C"/>
    <w:rsid w:val="0089072D"/>
    <w:rsid w:val="00893DA6"/>
    <w:rsid w:val="00894130"/>
    <w:rsid w:val="00896FC3"/>
    <w:rsid w:val="008A0127"/>
    <w:rsid w:val="008A0378"/>
    <w:rsid w:val="008A2002"/>
    <w:rsid w:val="008A4494"/>
    <w:rsid w:val="008A4E2E"/>
    <w:rsid w:val="008A53FE"/>
    <w:rsid w:val="008B2178"/>
    <w:rsid w:val="008B31A5"/>
    <w:rsid w:val="008B3469"/>
    <w:rsid w:val="008B4F7C"/>
    <w:rsid w:val="008C0458"/>
    <w:rsid w:val="008C5350"/>
    <w:rsid w:val="008C78C9"/>
    <w:rsid w:val="008D2F4A"/>
    <w:rsid w:val="008D34A2"/>
    <w:rsid w:val="008D7336"/>
    <w:rsid w:val="008E0D50"/>
    <w:rsid w:val="008E1433"/>
    <w:rsid w:val="008F0F33"/>
    <w:rsid w:val="008F1198"/>
    <w:rsid w:val="008F3828"/>
    <w:rsid w:val="008F3839"/>
    <w:rsid w:val="008F5399"/>
    <w:rsid w:val="00905239"/>
    <w:rsid w:val="009053CE"/>
    <w:rsid w:val="00906D36"/>
    <w:rsid w:val="00911A10"/>
    <w:rsid w:val="00914CE2"/>
    <w:rsid w:val="00915348"/>
    <w:rsid w:val="00916208"/>
    <w:rsid w:val="00920891"/>
    <w:rsid w:val="00921DC7"/>
    <w:rsid w:val="009223A0"/>
    <w:rsid w:val="009225E5"/>
    <w:rsid w:val="009245B5"/>
    <w:rsid w:val="00924F04"/>
    <w:rsid w:val="00932FF1"/>
    <w:rsid w:val="0093365F"/>
    <w:rsid w:val="00933944"/>
    <w:rsid w:val="00934903"/>
    <w:rsid w:val="00934B84"/>
    <w:rsid w:val="0094011F"/>
    <w:rsid w:val="00940B69"/>
    <w:rsid w:val="0094146A"/>
    <w:rsid w:val="0094209D"/>
    <w:rsid w:val="00947C34"/>
    <w:rsid w:val="009507CA"/>
    <w:rsid w:val="00950C86"/>
    <w:rsid w:val="00952B14"/>
    <w:rsid w:val="00953153"/>
    <w:rsid w:val="0095469D"/>
    <w:rsid w:val="0095535B"/>
    <w:rsid w:val="00964A00"/>
    <w:rsid w:val="00964C63"/>
    <w:rsid w:val="00967B97"/>
    <w:rsid w:val="00973F7C"/>
    <w:rsid w:val="009742E9"/>
    <w:rsid w:val="009828CC"/>
    <w:rsid w:val="00983AEE"/>
    <w:rsid w:val="00984498"/>
    <w:rsid w:val="009867CA"/>
    <w:rsid w:val="00986D22"/>
    <w:rsid w:val="00990891"/>
    <w:rsid w:val="00991A08"/>
    <w:rsid w:val="009934CD"/>
    <w:rsid w:val="00995655"/>
    <w:rsid w:val="009966E3"/>
    <w:rsid w:val="009A1A6A"/>
    <w:rsid w:val="009A4461"/>
    <w:rsid w:val="009A57FC"/>
    <w:rsid w:val="009A5CE4"/>
    <w:rsid w:val="009B4796"/>
    <w:rsid w:val="009C1AD8"/>
    <w:rsid w:val="009C1CE4"/>
    <w:rsid w:val="009C4D07"/>
    <w:rsid w:val="009D66CE"/>
    <w:rsid w:val="009D7840"/>
    <w:rsid w:val="009E18EA"/>
    <w:rsid w:val="009E293F"/>
    <w:rsid w:val="009F0C8F"/>
    <w:rsid w:val="009F6045"/>
    <w:rsid w:val="009F6EE7"/>
    <w:rsid w:val="009F7E6D"/>
    <w:rsid w:val="00A015F5"/>
    <w:rsid w:val="00A047D9"/>
    <w:rsid w:val="00A05815"/>
    <w:rsid w:val="00A07412"/>
    <w:rsid w:val="00A10389"/>
    <w:rsid w:val="00A14B2E"/>
    <w:rsid w:val="00A16A50"/>
    <w:rsid w:val="00A17F03"/>
    <w:rsid w:val="00A21408"/>
    <w:rsid w:val="00A22FCA"/>
    <w:rsid w:val="00A2413C"/>
    <w:rsid w:val="00A30557"/>
    <w:rsid w:val="00A3317F"/>
    <w:rsid w:val="00A40F33"/>
    <w:rsid w:val="00A42089"/>
    <w:rsid w:val="00A423FF"/>
    <w:rsid w:val="00A45EF5"/>
    <w:rsid w:val="00A519A8"/>
    <w:rsid w:val="00A51BC1"/>
    <w:rsid w:val="00A51E74"/>
    <w:rsid w:val="00A5364F"/>
    <w:rsid w:val="00A53BD3"/>
    <w:rsid w:val="00A57959"/>
    <w:rsid w:val="00A61259"/>
    <w:rsid w:val="00A616EB"/>
    <w:rsid w:val="00A62AF6"/>
    <w:rsid w:val="00A64727"/>
    <w:rsid w:val="00A651A0"/>
    <w:rsid w:val="00A65D17"/>
    <w:rsid w:val="00A6601D"/>
    <w:rsid w:val="00A66523"/>
    <w:rsid w:val="00A71F26"/>
    <w:rsid w:val="00A733D6"/>
    <w:rsid w:val="00A75579"/>
    <w:rsid w:val="00A76549"/>
    <w:rsid w:val="00A769A1"/>
    <w:rsid w:val="00A76A17"/>
    <w:rsid w:val="00A77F5E"/>
    <w:rsid w:val="00A8398F"/>
    <w:rsid w:val="00A83A9F"/>
    <w:rsid w:val="00A86C75"/>
    <w:rsid w:val="00A937FE"/>
    <w:rsid w:val="00A95D12"/>
    <w:rsid w:val="00A96A86"/>
    <w:rsid w:val="00A96EAA"/>
    <w:rsid w:val="00AA5003"/>
    <w:rsid w:val="00AA5165"/>
    <w:rsid w:val="00AA6E06"/>
    <w:rsid w:val="00AA6F26"/>
    <w:rsid w:val="00AB3D62"/>
    <w:rsid w:val="00AB7C94"/>
    <w:rsid w:val="00AC1A86"/>
    <w:rsid w:val="00AC24BF"/>
    <w:rsid w:val="00AC3EB1"/>
    <w:rsid w:val="00AC6F7B"/>
    <w:rsid w:val="00AD265E"/>
    <w:rsid w:val="00AD3746"/>
    <w:rsid w:val="00AD4914"/>
    <w:rsid w:val="00AD6EC0"/>
    <w:rsid w:val="00AE4C76"/>
    <w:rsid w:val="00AF2E1E"/>
    <w:rsid w:val="00AF42CF"/>
    <w:rsid w:val="00B01FF3"/>
    <w:rsid w:val="00B06C9C"/>
    <w:rsid w:val="00B112CD"/>
    <w:rsid w:val="00B13DC7"/>
    <w:rsid w:val="00B1631C"/>
    <w:rsid w:val="00B17149"/>
    <w:rsid w:val="00B22890"/>
    <w:rsid w:val="00B229F7"/>
    <w:rsid w:val="00B244E7"/>
    <w:rsid w:val="00B246C1"/>
    <w:rsid w:val="00B24976"/>
    <w:rsid w:val="00B3159F"/>
    <w:rsid w:val="00B323BB"/>
    <w:rsid w:val="00B328AE"/>
    <w:rsid w:val="00B34AEA"/>
    <w:rsid w:val="00B462F2"/>
    <w:rsid w:val="00B51F45"/>
    <w:rsid w:val="00B53DE7"/>
    <w:rsid w:val="00B54737"/>
    <w:rsid w:val="00B5602A"/>
    <w:rsid w:val="00B60B07"/>
    <w:rsid w:val="00B61730"/>
    <w:rsid w:val="00B61951"/>
    <w:rsid w:val="00B64A41"/>
    <w:rsid w:val="00B66EB7"/>
    <w:rsid w:val="00B67E87"/>
    <w:rsid w:val="00B70278"/>
    <w:rsid w:val="00B713E0"/>
    <w:rsid w:val="00B717E4"/>
    <w:rsid w:val="00B71BA9"/>
    <w:rsid w:val="00B728EE"/>
    <w:rsid w:val="00B76463"/>
    <w:rsid w:val="00B86083"/>
    <w:rsid w:val="00B9049D"/>
    <w:rsid w:val="00B920F5"/>
    <w:rsid w:val="00B92490"/>
    <w:rsid w:val="00B932DC"/>
    <w:rsid w:val="00B954AA"/>
    <w:rsid w:val="00BA00FD"/>
    <w:rsid w:val="00BA037E"/>
    <w:rsid w:val="00BA0976"/>
    <w:rsid w:val="00BA0F45"/>
    <w:rsid w:val="00BA2E14"/>
    <w:rsid w:val="00BA6833"/>
    <w:rsid w:val="00BB2B68"/>
    <w:rsid w:val="00BB2CF7"/>
    <w:rsid w:val="00BC3695"/>
    <w:rsid w:val="00BC6001"/>
    <w:rsid w:val="00BC69C7"/>
    <w:rsid w:val="00BC7B24"/>
    <w:rsid w:val="00BD1CD4"/>
    <w:rsid w:val="00BD1FA7"/>
    <w:rsid w:val="00BD62B7"/>
    <w:rsid w:val="00BD657E"/>
    <w:rsid w:val="00BE11A9"/>
    <w:rsid w:val="00BE2A0C"/>
    <w:rsid w:val="00BE3A1D"/>
    <w:rsid w:val="00BE5090"/>
    <w:rsid w:val="00BF2036"/>
    <w:rsid w:val="00BF217E"/>
    <w:rsid w:val="00BF50A3"/>
    <w:rsid w:val="00C03325"/>
    <w:rsid w:val="00C03841"/>
    <w:rsid w:val="00C03DE4"/>
    <w:rsid w:val="00C05BD8"/>
    <w:rsid w:val="00C2086A"/>
    <w:rsid w:val="00C227DF"/>
    <w:rsid w:val="00C22909"/>
    <w:rsid w:val="00C22FA7"/>
    <w:rsid w:val="00C23E3D"/>
    <w:rsid w:val="00C24BA6"/>
    <w:rsid w:val="00C31210"/>
    <w:rsid w:val="00C32705"/>
    <w:rsid w:val="00C345B5"/>
    <w:rsid w:val="00C37873"/>
    <w:rsid w:val="00C437EC"/>
    <w:rsid w:val="00C43AE8"/>
    <w:rsid w:val="00C460A8"/>
    <w:rsid w:val="00C47C93"/>
    <w:rsid w:val="00C50ABB"/>
    <w:rsid w:val="00C53ABC"/>
    <w:rsid w:val="00C60706"/>
    <w:rsid w:val="00C628DA"/>
    <w:rsid w:val="00C629AB"/>
    <w:rsid w:val="00C63951"/>
    <w:rsid w:val="00C640E3"/>
    <w:rsid w:val="00C674E4"/>
    <w:rsid w:val="00C67639"/>
    <w:rsid w:val="00C701C6"/>
    <w:rsid w:val="00C71DF6"/>
    <w:rsid w:val="00C76BBF"/>
    <w:rsid w:val="00C803EF"/>
    <w:rsid w:val="00C832FB"/>
    <w:rsid w:val="00C833C8"/>
    <w:rsid w:val="00C83F76"/>
    <w:rsid w:val="00C92B74"/>
    <w:rsid w:val="00CA1D05"/>
    <w:rsid w:val="00CA23B1"/>
    <w:rsid w:val="00CA4032"/>
    <w:rsid w:val="00CA6087"/>
    <w:rsid w:val="00CB1139"/>
    <w:rsid w:val="00CB1408"/>
    <w:rsid w:val="00CB2FBB"/>
    <w:rsid w:val="00CC1306"/>
    <w:rsid w:val="00CC171C"/>
    <w:rsid w:val="00CD0719"/>
    <w:rsid w:val="00CD1546"/>
    <w:rsid w:val="00CD1845"/>
    <w:rsid w:val="00CD3418"/>
    <w:rsid w:val="00CD5173"/>
    <w:rsid w:val="00CD5E14"/>
    <w:rsid w:val="00CE11FE"/>
    <w:rsid w:val="00CE1512"/>
    <w:rsid w:val="00CE3E20"/>
    <w:rsid w:val="00CF12A6"/>
    <w:rsid w:val="00CF475C"/>
    <w:rsid w:val="00CF4DA4"/>
    <w:rsid w:val="00CF6DEA"/>
    <w:rsid w:val="00D0570D"/>
    <w:rsid w:val="00D05808"/>
    <w:rsid w:val="00D05960"/>
    <w:rsid w:val="00D1518D"/>
    <w:rsid w:val="00D15A77"/>
    <w:rsid w:val="00D16A1E"/>
    <w:rsid w:val="00D170D6"/>
    <w:rsid w:val="00D2115A"/>
    <w:rsid w:val="00D25B81"/>
    <w:rsid w:val="00D3083A"/>
    <w:rsid w:val="00D31EDB"/>
    <w:rsid w:val="00D32095"/>
    <w:rsid w:val="00D33DB9"/>
    <w:rsid w:val="00D33DE8"/>
    <w:rsid w:val="00D3521A"/>
    <w:rsid w:val="00D35311"/>
    <w:rsid w:val="00D37231"/>
    <w:rsid w:val="00D46302"/>
    <w:rsid w:val="00D473EA"/>
    <w:rsid w:val="00D50D1E"/>
    <w:rsid w:val="00D54810"/>
    <w:rsid w:val="00D56315"/>
    <w:rsid w:val="00D61DF3"/>
    <w:rsid w:val="00D66743"/>
    <w:rsid w:val="00D67222"/>
    <w:rsid w:val="00D67ED7"/>
    <w:rsid w:val="00D7064D"/>
    <w:rsid w:val="00D75C7E"/>
    <w:rsid w:val="00D77ECD"/>
    <w:rsid w:val="00D86B22"/>
    <w:rsid w:val="00D870DF"/>
    <w:rsid w:val="00D953EE"/>
    <w:rsid w:val="00DA4CB7"/>
    <w:rsid w:val="00DB09B4"/>
    <w:rsid w:val="00DB1539"/>
    <w:rsid w:val="00DB1B8A"/>
    <w:rsid w:val="00DB3F28"/>
    <w:rsid w:val="00DB56DE"/>
    <w:rsid w:val="00DC0DE9"/>
    <w:rsid w:val="00DC11A4"/>
    <w:rsid w:val="00DC51EC"/>
    <w:rsid w:val="00DC6F38"/>
    <w:rsid w:val="00DD029A"/>
    <w:rsid w:val="00DD2937"/>
    <w:rsid w:val="00DD29CD"/>
    <w:rsid w:val="00DD40E9"/>
    <w:rsid w:val="00DD5E6C"/>
    <w:rsid w:val="00DE20AE"/>
    <w:rsid w:val="00DE2CE6"/>
    <w:rsid w:val="00DE7056"/>
    <w:rsid w:val="00DF10C5"/>
    <w:rsid w:val="00DF2D88"/>
    <w:rsid w:val="00DF49A4"/>
    <w:rsid w:val="00DF7144"/>
    <w:rsid w:val="00DF7D21"/>
    <w:rsid w:val="00E01536"/>
    <w:rsid w:val="00E04D9D"/>
    <w:rsid w:val="00E1345A"/>
    <w:rsid w:val="00E13BF9"/>
    <w:rsid w:val="00E17384"/>
    <w:rsid w:val="00E21833"/>
    <w:rsid w:val="00E25D99"/>
    <w:rsid w:val="00E324CA"/>
    <w:rsid w:val="00E42BC2"/>
    <w:rsid w:val="00E42F13"/>
    <w:rsid w:val="00E50FE5"/>
    <w:rsid w:val="00E513E6"/>
    <w:rsid w:val="00E54ED4"/>
    <w:rsid w:val="00E55F26"/>
    <w:rsid w:val="00E6057D"/>
    <w:rsid w:val="00E6173B"/>
    <w:rsid w:val="00E628D4"/>
    <w:rsid w:val="00E63AC6"/>
    <w:rsid w:val="00E63CE2"/>
    <w:rsid w:val="00E66E84"/>
    <w:rsid w:val="00E71F13"/>
    <w:rsid w:val="00E74A38"/>
    <w:rsid w:val="00E81A16"/>
    <w:rsid w:val="00E85456"/>
    <w:rsid w:val="00E85E8D"/>
    <w:rsid w:val="00E868AA"/>
    <w:rsid w:val="00E86D85"/>
    <w:rsid w:val="00E9002B"/>
    <w:rsid w:val="00E909D9"/>
    <w:rsid w:val="00E91DF5"/>
    <w:rsid w:val="00E97CEC"/>
    <w:rsid w:val="00E97D58"/>
    <w:rsid w:val="00EA1838"/>
    <w:rsid w:val="00EA291E"/>
    <w:rsid w:val="00EA3A74"/>
    <w:rsid w:val="00EA482D"/>
    <w:rsid w:val="00EB42AD"/>
    <w:rsid w:val="00EB585E"/>
    <w:rsid w:val="00EB743B"/>
    <w:rsid w:val="00EB7FAE"/>
    <w:rsid w:val="00EC13EA"/>
    <w:rsid w:val="00EC1E06"/>
    <w:rsid w:val="00EC3CCF"/>
    <w:rsid w:val="00EC3EDB"/>
    <w:rsid w:val="00EC47CC"/>
    <w:rsid w:val="00EC7952"/>
    <w:rsid w:val="00ED0B5C"/>
    <w:rsid w:val="00ED0EE2"/>
    <w:rsid w:val="00ED3FEB"/>
    <w:rsid w:val="00EE125E"/>
    <w:rsid w:val="00EE3836"/>
    <w:rsid w:val="00EE4601"/>
    <w:rsid w:val="00EE47A3"/>
    <w:rsid w:val="00EE5FBA"/>
    <w:rsid w:val="00EE7838"/>
    <w:rsid w:val="00EF6408"/>
    <w:rsid w:val="00EF6DA3"/>
    <w:rsid w:val="00F012F5"/>
    <w:rsid w:val="00F03D47"/>
    <w:rsid w:val="00F05629"/>
    <w:rsid w:val="00F0772C"/>
    <w:rsid w:val="00F13345"/>
    <w:rsid w:val="00F1681A"/>
    <w:rsid w:val="00F2090A"/>
    <w:rsid w:val="00F2522E"/>
    <w:rsid w:val="00F272D4"/>
    <w:rsid w:val="00F30D20"/>
    <w:rsid w:val="00F33E73"/>
    <w:rsid w:val="00F36538"/>
    <w:rsid w:val="00F36DA8"/>
    <w:rsid w:val="00F44B6A"/>
    <w:rsid w:val="00F45B5A"/>
    <w:rsid w:val="00F46943"/>
    <w:rsid w:val="00F47578"/>
    <w:rsid w:val="00F5064E"/>
    <w:rsid w:val="00F5068D"/>
    <w:rsid w:val="00F54147"/>
    <w:rsid w:val="00F55547"/>
    <w:rsid w:val="00F57C99"/>
    <w:rsid w:val="00F63EE8"/>
    <w:rsid w:val="00F65D76"/>
    <w:rsid w:val="00F66F7F"/>
    <w:rsid w:val="00F706D8"/>
    <w:rsid w:val="00F708BB"/>
    <w:rsid w:val="00F70AF3"/>
    <w:rsid w:val="00F7396F"/>
    <w:rsid w:val="00F7574E"/>
    <w:rsid w:val="00F81CCD"/>
    <w:rsid w:val="00F83542"/>
    <w:rsid w:val="00F83AB9"/>
    <w:rsid w:val="00F90450"/>
    <w:rsid w:val="00F9090B"/>
    <w:rsid w:val="00F917BB"/>
    <w:rsid w:val="00F93403"/>
    <w:rsid w:val="00F93FA1"/>
    <w:rsid w:val="00F947DD"/>
    <w:rsid w:val="00F956AC"/>
    <w:rsid w:val="00FB11A7"/>
    <w:rsid w:val="00FB2487"/>
    <w:rsid w:val="00FB4212"/>
    <w:rsid w:val="00FC05FA"/>
    <w:rsid w:val="00FC1377"/>
    <w:rsid w:val="00FC1E0A"/>
    <w:rsid w:val="00FC2566"/>
    <w:rsid w:val="00FC37D2"/>
    <w:rsid w:val="00FC444E"/>
    <w:rsid w:val="00FC50AB"/>
    <w:rsid w:val="00FC67C0"/>
    <w:rsid w:val="00FD35D1"/>
    <w:rsid w:val="00FE076D"/>
    <w:rsid w:val="00FE27B8"/>
    <w:rsid w:val="00FE4817"/>
    <w:rsid w:val="00FE5981"/>
    <w:rsid w:val="00FE67A3"/>
    <w:rsid w:val="00FE7509"/>
    <w:rsid w:val="00FE7564"/>
    <w:rsid w:val="00FE79F5"/>
    <w:rsid w:val="00FF0DD4"/>
    <w:rsid w:val="00FF1A81"/>
    <w:rsid w:val="00FF4CCB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57"/>
    <w:lsdException w:name="footer" w:uiPriority="57"/>
    <w:lsdException w:name="caption" w:semiHidden="1" w:uiPriority="99" w:qFormat="1"/>
    <w:lsdException w:name="footnote reference" w:uiPriority="99"/>
    <w:lsdException w:name="page number" w:uiPriority="99"/>
    <w:lsdException w:name="toa heading" w:uiPriority="99"/>
    <w:lsdException w:name="Title" w:uiPriority="99" w:qFormat="1"/>
    <w:lsdException w:name="Default Paragraph Font" w:uiPriority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semiHidden/>
    <w:rsid w:val="009A5CE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A5CE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A5CE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A5CE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A5CE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A5CE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A5CE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A5CE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A5CE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A5CE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9A5CE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link w:val="JuHIRomanChar1"/>
    <w:uiPriority w:val="19"/>
    <w:qFormat/>
    <w:rsid w:val="009A5CE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9A5CE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A5CE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A5CE4"/>
    <w:pPr>
      <w:ind w:firstLine="284"/>
    </w:pPr>
  </w:style>
  <w:style w:type="character" w:customStyle="1" w:styleId="ECHRParaChar">
    <w:name w:val="ECHR_Para Char"/>
    <w:aliases w:val="Ju_Para Char"/>
    <w:link w:val="ECHRPara"/>
    <w:uiPriority w:val="12"/>
    <w:rsid w:val="00203660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516EE4"/>
    <w:rPr>
      <w:rFonts w:asciiTheme="majorHAnsi" w:eastAsiaTheme="minorEastAsia" w:hAnsiTheme="majorHAnsi"/>
      <w:sz w:val="28"/>
    </w:rPr>
  </w:style>
  <w:style w:type="character" w:customStyle="1" w:styleId="JuHIRomanChar1">
    <w:name w:val="Ju_H_I_Roman Char1"/>
    <w:link w:val="ECHRHeading1"/>
    <w:uiPriority w:val="19"/>
    <w:rsid w:val="00203660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A5CE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Signed">
    <w:name w:val="Ju_Signed"/>
    <w:basedOn w:val="Normal"/>
    <w:next w:val="JuParaLast"/>
    <w:uiPriority w:val="32"/>
    <w:qFormat/>
    <w:rsid w:val="009A5CE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9A5CE4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9A5CE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A5CE4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A5CE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A5CE4"/>
    <w:rPr>
      <w:rFonts w:asciiTheme="majorHAnsi" w:eastAsiaTheme="majorEastAsia" w:hAnsiTheme="majorHAnsi" w:cstheme="majorBidi"/>
      <w:i/>
      <w:iCs/>
      <w:lang w:bidi="en-US"/>
    </w:rPr>
  </w:style>
  <w:style w:type="paragraph" w:styleId="Footer">
    <w:name w:val="footer"/>
    <w:basedOn w:val="Normal"/>
    <w:link w:val="FooterChar"/>
    <w:uiPriority w:val="57"/>
    <w:semiHidden/>
    <w:rsid w:val="009A5CE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9A5CE4"/>
    <w:pPr>
      <w:tabs>
        <w:tab w:val="left" w:pos="567"/>
        <w:tab w:val="left" w:pos="1134"/>
      </w:tabs>
      <w:jc w:val="left"/>
    </w:pPr>
  </w:style>
  <w:style w:type="character" w:customStyle="1" w:styleId="JuJudgesChar">
    <w:name w:val="Ju_Judges Char"/>
    <w:link w:val="ECHRDecisionBody"/>
    <w:uiPriority w:val="11"/>
    <w:rsid w:val="00BF50A3"/>
    <w:rPr>
      <w:rFonts w:eastAsiaTheme="minorEastAsia"/>
      <w:sz w:val="24"/>
    </w:rPr>
  </w:style>
  <w:style w:type="character" w:styleId="Strong">
    <w:name w:val="Strong"/>
    <w:uiPriority w:val="99"/>
    <w:semiHidden/>
    <w:qFormat/>
    <w:rsid w:val="009A5CE4"/>
    <w:rPr>
      <w:b/>
      <w:bCs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A5CE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9A5CE4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link w:val="ECHRParaQuote"/>
    <w:uiPriority w:val="14"/>
    <w:rsid w:val="00905239"/>
    <w:rPr>
      <w:rFonts w:eastAsiaTheme="minorEastAsia"/>
      <w:sz w:val="20"/>
    </w:rPr>
  </w:style>
  <w:style w:type="paragraph" w:customStyle="1" w:styleId="JuCase">
    <w:name w:val="Ju_Case"/>
    <w:basedOn w:val="Normal"/>
    <w:next w:val="ECHRPara"/>
    <w:uiPriority w:val="10"/>
    <w:rsid w:val="009A5CE4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9A5CE4"/>
    <w:pPr>
      <w:ind w:left="340" w:hanging="340"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9A5CE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A5CE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A5CE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E4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A5CE4"/>
    <w:rPr>
      <w:i/>
      <w:iCs/>
      <w:smallCaps/>
      <w:spacing w:val="5"/>
    </w:rPr>
  </w:style>
  <w:style w:type="paragraph" w:styleId="NoSpacing">
    <w:name w:val="No Spacing"/>
    <w:basedOn w:val="Normal"/>
    <w:link w:val="NoSpacingChar"/>
    <w:semiHidden/>
    <w:qFormat/>
    <w:rsid w:val="009A5CE4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9A5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5CE4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semiHidden/>
    <w:rsid w:val="009A5CE4"/>
    <w:rPr>
      <w:rFonts w:eastAsiaTheme="minorEastAsia"/>
    </w:rPr>
  </w:style>
  <w:style w:type="paragraph" w:styleId="Header">
    <w:name w:val="header"/>
    <w:basedOn w:val="Normal"/>
    <w:link w:val="HeaderChar"/>
    <w:uiPriority w:val="57"/>
    <w:semiHidden/>
    <w:rsid w:val="009A5CE4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08750A"/>
    <w:rPr>
      <w:rFonts w:ascii="Times New Roman" w:hAnsi="Times New Roman" w:cs="Times New Roman"/>
      <w:sz w:val="18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A5CE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A5CE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9A5CE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A5CE4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A5CE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A5CE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9A5CE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A5CE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Header">
    <w:name w:val="ECHR_Header"/>
    <w:aliases w:val="Ju_Header"/>
    <w:basedOn w:val="Header"/>
    <w:uiPriority w:val="4"/>
    <w:qFormat/>
    <w:rsid w:val="009A5CE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character" w:styleId="SubtleEmphasis">
    <w:name w:val="Subtle Emphasis"/>
    <w:uiPriority w:val="99"/>
    <w:semiHidden/>
    <w:qFormat/>
    <w:rsid w:val="009A5CE4"/>
    <w:rPr>
      <w:i/>
      <w:iCs/>
    </w:rPr>
  </w:style>
  <w:style w:type="character" w:styleId="Emphasis">
    <w:name w:val="Emphasis"/>
    <w:uiPriority w:val="99"/>
    <w:semiHidden/>
    <w:qFormat/>
    <w:rsid w:val="009A5CE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A5CE4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CE4"/>
    <w:rPr>
      <w:rFonts w:eastAsiaTheme="minorEastAsia"/>
      <w:sz w:val="20"/>
      <w:szCs w:val="20"/>
    </w:rPr>
  </w:style>
  <w:style w:type="character" w:styleId="IntenseEmphasis">
    <w:name w:val="Intense Emphasis"/>
    <w:uiPriority w:val="99"/>
    <w:semiHidden/>
    <w:qFormat/>
    <w:rsid w:val="009A5CE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A5CE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A5CE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A5CE4"/>
    <w:rPr>
      <w:smallCaps/>
      <w:spacing w:val="5"/>
      <w:u w:val="single"/>
    </w:rPr>
  </w:style>
  <w:style w:type="paragraph" w:customStyle="1" w:styleId="JuAppQuestion">
    <w:name w:val="Ju_App_Question"/>
    <w:basedOn w:val="Normal"/>
    <w:uiPriority w:val="5"/>
    <w:rsid w:val="009A5CE4"/>
    <w:pPr>
      <w:numPr>
        <w:numId w:val="14"/>
      </w:num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A5C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142D"/>
    <w:rPr>
      <w:b/>
      <w:bCs/>
    </w:rPr>
  </w:style>
  <w:style w:type="character" w:styleId="EndnoteReference">
    <w:name w:val="endnote reference"/>
    <w:semiHidden/>
    <w:rsid w:val="0008750A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8750A"/>
    <w:rPr>
      <w:sz w:val="20"/>
    </w:rPr>
  </w:style>
  <w:style w:type="character" w:styleId="FollowedHyperlink">
    <w:name w:val="FollowedHyperlink"/>
    <w:semiHidden/>
    <w:rsid w:val="0008750A"/>
    <w:rPr>
      <w:rFonts w:ascii="Times New Roman" w:hAnsi="Times New Roman" w:cs="Times New Roman"/>
      <w:color w:val="800080"/>
      <w:u w:val="single"/>
    </w:rPr>
  </w:style>
  <w:style w:type="paragraph" w:customStyle="1" w:styleId="OpiPara">
    <w:name w:val="Opi_Para"/>
    <w:basedOn w:val="ECHRPara"/>
    <w:uiPriority w:val="46"/>
    <w:qFormat/>
    <w:rsid w:val="009A5CE4"/>
  </w:style>
  <w:style w:type="paragraph" w:customStyle="1" w:styleId="JuParaSub">
    <w:name w:val="Ju_Para_Sub"/>
    <w:basedOn w:val="ECHRPara"/>
    <w:uiPriority w:val="13"/>
    <w:qFormat/>
    <w:rsid w:val="009A5CE4"/>
    <w:pPr>
      <w:ind w:left="284"/>
    </w:pPr>
  </w:style>
  <w:style w:type="paragraph" w:styleId="DocumentMap">
    <w:name w:val="Document Map"/>
    <w:basedOn w:val="Normal"/>
    <w:semiHidden/>
    <w:rsid w:val="002F6423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uiPriority w:val="47"/>
    <w:qFormat/>
    <w:rsid w:val="009A5CE4"/>
  </w:style>
  <w:style w:type="paragraph" w:customStyle="1" w:styleId="OpiQuot">
    <w:name w:val="Opi_Quot"/>
    <w:basedOn w:val="ECHRParaQuote"/>
    <w:uiPriority w:val="48"/>
    <w:qFormat/>
    <w:rsid w:val="009A5CE4"/>
  </w:style>
  <w:style w:type="paragraph" w:styleId="ListBullet">
    <w:name w:val="List Bullet"/>
    <w:basedOn w:val="Normal"/>
    <w:semiHidden/>
    <w:rsid w:val="0055679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rsid w:val="009A5CE4"/>
    <w:rPr>
      <w:color w:val="0072BC" w:themeColor="hyperlink"/>
      <w:u w:val="single"/>
    </w:rPr>
  </w:style>
  <w:style w:type="paragraph" w:customStyle="1" w:styleId="OpiQuotSub">
    <w:name w:val="Opi_Quot_Sub"/>
    <w:basedOn w:val="JuQuotSub"/>
    <w:uiPriority w:val="49"/>
    <w:qFormat/>
    <w:rsid w:val="009A5CE4"/>
  </w:style>
  <w:style w:type="paragraph" w:styleId="ListParagraph">
    <w:name w:val="List Paragraph"/>
    <w:basedOn w:val="Normal"/>
    <w:uiPriority w:val="99"/>
    <w:semiHidden/>
    <w:qFormat/>
    <w:rsid w:val="009A5C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9A5CE4"/>
    <w:pPr>
      <w:spacing w:before="200"/>
      <w:ind w:left="360" w:right="360"/>
    </w:pPr>
    <w:rPr>
      <w:i/>
      <w:iCs/>
      <w:sz w:val="22"/>
      <w:lang w:bidi="en-US"/>
    </w:rPr>
  </w:style>
  <w:style w:type="table" w:styleId="TableGrid">
    <w:name w:val="Table Grid"/>
    <w:basedOn w:val="TableNormal"/>
    <w:uiPriority w:val="59"/>
    <w:semiHidden/>
    <w:rsid w:val="009A5CE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Char">
    <w:name w:val="Quote Char"/>
    <w:basedOn w:val="DefaultParagraphFont"/>
    <w:link w:val="Quote"/>
    <w:uiPriority w:val="99"/>
    <w:semiHidden/>
    <w:rsid w:val="009A5CE4"/>
    <w:rPr>
      <w:rFonts w:eastAsiaTheme="minorEastAsia"/>
      <w:i/>
      <w:iCs/>
      <w:lang w:bidi="en-US"/>
    </w:rPr>
  </w:style>
  <w:style w:type="paragraph" w:customStyle="1" w:styleId="JuTitle">
    <w:name w:val="Ju_Title"/>
    <w:basedOn w:val="Normal"/>
    <w:next w:val="ECHRPara"/>
    <w:uiPriority w:val="3"/>
    <w:rsid w:val="009A5CE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SubtleReference">
    <w:name w:val="Subtle Reference"/>
    <w:uiPriority w:val="99"/>
    <w:semiHidden/>
    <w:qFormat/>
    <w:rsid w:val="009A5CE4"/>
    <w:rPr>
      <w:smallCaps/>
    </w:rPr>
  </w:style>
  <w:style w:type="paragraph" w:styleId="Revision">
    <w:name w:val="Revision"/>
    <w:hidden/>
    <w:uiPriority w:val="99"/>
    <w:semiHidden/>
    <w:rsid w:val="00FD35D1"/>
    <w:rPr>
      <w:sz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A5CE4"/>
    <w:rPr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9A5CE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9A5CE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9A5CE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9A5CE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9A5CE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9A5CE4"/>
    <w:pPr>
      <w:outlineLvl w:val="9"/>
    </w:pPr>
    <w:rPr>
      <w:color w:val="474747" w:themeColor="accent3" w:themeShade="BF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A5CE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9A5CE4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QuotSub">
    <w:name w:val="Ju_Quot_Sub"/>
    <w:basedOn w:val="ECHRParaQuote"/>
    <w:uiPriority w:val="15"/>
    <w:qFormat/>
    <w:rsid w:val="009A5CE4"/>
    <w:pPr>
      <w:ind w:left="567"/>
    </w:p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A5CE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9A5CE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A5CE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9A5CE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9A5CE4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qFormat/>
    <w:rsid w:val="009A5CE4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9A5CE4"/>
  </w:style>
  <w:style w:type="paragraph" w:customStyle="1" w:styleId="JuCourt">
    <w:name w:val="Ju_Court"/>
    <w:basedOn w:val="Normal"/>
    <w:next w:val="Normal"/>
    <w:uiPriority w:val="16"/>
    <w:qFormat/>
    <w:rsid w:val="009A5CE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TOAHeading">
    <w:name w:val="toa heading"/>
    <w:basedOn w:val="Normal"/>
    <w:next w:val="Normal"/>
    <w:uiPriority w:val="99"/>
    <w:semiHidden/>
    <w:rsid w:val="009A5CE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DecList">
    <w:name w:val="Dec_List"/>
    <w:basedOn w:val="Normal"/>
    <w:uiPriority w:val="9"/>
    <w:rsid w:val="009A5CE4"/>
    <w:pPr>
      <w:spacing w:before="240"/>
      <w:ind w:left="284"/>
    </w:p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A5CE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A5CE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A5CE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A5CE4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9A5CE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A5CE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A5CE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9A5CE4"/>
    <w:rPr>
      <w:color w:val="00B050"/>
    </w:rPr>
  </w:style>
  <w:style w:type="table" w:customStyle="1" w:styleId="ECHRListTable">
    <w:name w:val="ECHR_List_Table"/>
    <w:basedOn w:val="TableNormal"/>
    <w:uiPriority w:val="99"/>
    <w:rsid w:val="009A5CE4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semiHidden/>
    <w:rsid w:val="009A5CE4"/>
    <w:pPr>
      <w:numPr>
        <w:numId w:val="15"/>
      </w:numPr>
    </w:pPr>
  </w:style>
  <w:style w:type="numbering" w:styleId="1ai">
    <w:name w:val="Outline List 1"/>
    <w:basedOn w:val="NoList"/>
    <w:semiHidden/>
    <w:rsid w:val="009A5CE4"/>
    <w:pPr>
      <w:numPr>
        <w:numId w:val="16"/>
      </w:numPr>
    </w:pPr>
  </w:style>
  <w:style w:type="numbering" w:styleId="ArticleSection">
    <w:name w:val="Outline List 3"/>
    <w:basedOn w:val="NoList"/>
    <w:semiHidden/>
    <w:rsid w:val="009A5CE4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A5CE4"/>
  </w:style>
  <w:style w:type="paragraph" w:styleId="BlockText">
    <w:name w:val="Block Text"/>
    <w:basedOn w:val="Normal"/>
    <w:semiHidden/>
    <w:rsid w:val="009A5CE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semiHidden/>
    <w:rsid w:val="009A5C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5CE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semiHidden/>
    <w:rsid w:val="009A5C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5CE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semiHidden/>
    <w:rsid w:val="009A5C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5CE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A5CE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A5CE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semiHidden/>
    <w:rsid w:val="009A5C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A5CE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9A5C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A5CE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9A5C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A5CE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semiHidden/>
    <w:rsid w:val="009A5C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5CE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9A5CE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9A5CE4"/>
    <w:pPr>
      <w:ind w:left="4252"/>
    </w:pPr>
  </w:style>
  <w:style w:type="character" w:customStyle="1" w:styleId="ClosingChar">
    <w:name w:val="Closing Char"/>
    <w:basedOn w:val="DefaultParagraphFont"/>
    <w:link w:val="Closing"/>
    <w:rsid w:val="009A5CE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9A5CE4"/>
  </w:style>
  <w:style w:type="character" w:customStyle="1" w:styleId="DateChar">
    <w:name w:val="Date Char"/>
    <w:basedOn w:val="DefaultParagraphFont"/>
    <w:link w:val="Date"/>
    <w:rsid w:val="009A5CE4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semiHidden/>
    <w:rsid w:val="009A5CE4"/>
  </w:style>
  <w:style w:type="character" w:customStyle="1" w:styleId="E-mailSignatureChar">
    <w:name w:val="E-mail Signature Char"/>
    <w:basedOn w:val="DefaultParagraphFont"/>
    <w:link w:val="E-mailSignature"/>
    <w:rsid w:val="009A5CE4"/>
    <w:rPr>
      <w:rFonts w:eastAsiaTheme="minorEastAsia"/>
      <w:sz w:val="24"/>
    </w:rPr>
  </w:style>
  <w:style w:type="paragraph" w:styleId="EnvelopeAddress">
    <w:name w:val="envelope address"/>
    <w:basedOn w:val="Normal"/>
    <w:semiHidden/>
    <w:rsid w:val="009A5C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9A5CE4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semiHidden/>
    <w:rsid w:val="009A5CE4"/>
  </w:style>
  <w:style w:type="paragraph" w:styleId="HTMLAddress">
    <w:name w:val="HTML Address"/>
    <w:basedOn w:val="Normal"/>
    <w:link w:val="HTMLAddressChar"/>
    <w:semiHidden/>
    <w:rsid w:val="009A5CE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A5CE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semiHidden/>
    <w:rsid w:val="009A5CE4"/>
    <w:rPr>
      <w:i/>
      <w:iCs/>
    </w:rPr>
  </w:style>
  <w:style w:type="character" w:styleId="HTMLCode">
    <w:name w:val="HTML Code"/>
    <w:basedOn w:val="DefaultParagraphFont"/>
    <w:semiHidden/>
    <w:rsid w:val="009A5CE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9A5CE4"/>
    <w:rPr>
      <w:i/>
      <w:iCs/>
    </w:rPr>
  </w:style>
  <w:style w:type="character" w:styleId="HTMLKeyboard">
    <w:name w:val="HTML Keyboard"/>
    <w:basedOn w:val="DefaultParagraphFont"/>
    <w:semiHidden/>
    <w:rsid w:val="009A5CE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A5C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5CE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9A5CE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9A5CE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9A5CE4"/>
    <w:rPr>
      <w:i/>
      <w:iCs/>
    </w:rPr>
  </w:style>
  <w:style w:type="paragraph" w:styleId="Index1">
    <w:name w:val="index 1"/>
    <w:basedOn w:val="Normal"/>
    <w:next w:val="Normal"/>
    <w:autoRedefine/>
    <w:semiHidden/>
    <w:rsid w:val="009A5CE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A5CE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A5CE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A5CE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A5CE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A5CE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A5CE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A5CE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A5CE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A5CE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A5C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A5CE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A5CE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A5CE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A5CE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A5CE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A5CE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9A5CE4"/>
  </w:style>
  <w:style w:type="paragraph" w:styleId="List">
    <w:name w:val="List"/>
    <w:basedOn w:val="Normal"/>
    <w:semiHidden/>
    <w:rsid w:val="009A5CE4"/>
    <w:pPr>
      <w:ind w:left="283" w:hanging="283"/>
      <w:contextualSpacing/>
    </w:pPr>
  </w:style>
  <w:style w:type="paragraph" w:styleId="List2">
    <w:name w:val="List 2"/>
    <w:basedOn w:val="Normal"/>
    <w:semiHidden/>
    <w:rsid w:val="009A5CE4"/>
    <w:pPr>
      <w:ind w:left="566" w:hanging="283"/>
      <w:contextualSpacing/>
    </w:pPr>
  </w:style>
  <w:style w:type="paragraph" w:styleId="List3">
    <w:name w:val="List 3"/>
    <w:basedOn w:val="Normal"/>
    <w:semiHidden/>
    <w:rsid w:val="009A5CE4"/>
    <w:pPr>
      <w:ind w:left="849" w:hanging="283"/>
      <w:contextualSpacing/>
    </w:pPr>
  </w:style>
  <w:style w:type="paragraph" w:styleId="List4">
    <w:name w:val="List 4"/>
    <w:basedOn w:val="Normal"/>
    <w:semiHidden/>
    <w:rsid w:val="009A5CE4"/>
    <w:pPr>
      <w:ind w:left="1132" w:hanging="283"/>
      <w:contextualSpacing/>
    </w:pPr>
  </w:style>
  <w:style w:type="paragraph" w:styleId="List5">
    <w:name w:val="List 5"/>
    <w:basedOn w:val="Normal"/>
    <w:semiHidden/>
    <w:rsid w:val="009A5CE4"/>
    <w:pPr>
      <w:ind w:left="1415" w:hanging="283"/>
      <w:contextualSpacing/>
    </w:pPr>
  </w:style>
  <w:style w:type="paragraph" w:styleId="ListBullet2">
    <w:name w:val="List Bullet 2"/>
    <w:basedOn w:val="Normal"/>
    <w:semiHidden/>
    <w:rsid w:val="009A5CE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9A5CE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9A5CE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9A5CE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9A5CE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A5CE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A5CE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A5CE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A5CE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9A5CE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9A5CE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9A5CE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9A5CE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9A5CE4"/>
    <w:pPr>
      <w:numPr>
        <w:numId w:val="10"/>
      </w:numPr>
      <w:contextualSpacing/>
    </w:pPr>
  </w:style>
  <w:style w:type="paragraph" w:styleId="MacroText">
    <w:name w:val="macro"/>
    <w:link w:val="MacroTextChar"/>
    <w:semiHidden/>
    <w:rsid w:val="009A5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9A5CE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9A5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A5C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9A5CE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rsid w:val="009A5CE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A5CE4"/>
  </w:style>
  <w:style w:type="character" w:customStyle="1" w:styleId="NoteHeadingChar">
    <w:name w:val="Note Heading Char"/>
    <w:basedOn w:val="DefaultParagraphFont"/>
    <w:link w:val="NoteHeading"/>
    <w:rsid w:val="009A5CE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A5CE4"/>
    <w:rPr>
      <w:color w:val="808080"/>
    </w:rPr>
  </w:style>
  <w:style w:type="paragraph" w:styleId="PlainText">
    <w:name w:val="Plain Text"/>
    <w:basedOn w:val="Normal"/>
    <w:link w:val="PlainTextChar"/>
    <w:semiHidden/>
    <w:rsid w:val="009A5C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A5CE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9A5CE4"/>
  </w:style>
  <w:style w:type="character" w:customStyle="1" w:styleId="SalutationChar">
    <w:name w:val="Salutation Char"/>
    <w:basedOn w:val="DefaultParagraphFont"/>
    <w:link w:val="Salutation"/>
    <w:rsid w:val="009A5CE4"/>
    <w:rPr>
      <w:rFonts w:eastAsiaTheme="minorEastAsia"/>
      <w:sz w:val="24"/>
    </w:rPr>
  </w:style>
  <w:style w:type="paragraph" w:styleId="Signature">
    <w:name w:val="Signature"/>
    <w:basedOn w:val="Normal"/>
    <w:link w:val="SignatureChar"/>
    <w:semiHidden/>
    <w:rsid w:val="009A5CE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A5CE4"/>
    <w:rPr>
      <w:rFonts w:eastAsiaTheme="minorEastAsia"/>
      <w:sz w:val="24"/>
    </w:rPr>
  </w:style>
  <w:style w:type="table" w:styleId="Table3Deffects1">
    <w:name w:val="Table 3D effects 1"/>
    <w:basedOn w:val="TableNormal"/>
    <w:semiHidden/>
    <w:rsid w:val="009A5CE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5CE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5CE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5CE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5CE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5CE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5CE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5CE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5CE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5CE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5CE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5CE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5CE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5CE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5CE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5CE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5CE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5CE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9A5CE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A5CE4"/>
  </w:style>
  <w:style w:type="table" w:styleId="TableProfessional">
    <w:name w:val="Table Professional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5CE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5CE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5CE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5C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A5CE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5CE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5CE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semiHidden/>
    <w:rsid w:val="009A5CE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9A5CE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9A5CE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9A5CE4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57"/>
    <w:lsdException w:name="footer" w:uiPriority="57"/>
    <w:lsdException w:name="caption" w:semiHidden="1" w:uiPriority="99" w:qFormat="1"/>
    <w:lsdException w:name="footnote reference" w:uiPriority="99"/>
    <w:lsdException w:name="page number" w:uiPriority="99"/>
    <w:lsdException w:name="toa heading" w:uiPriority="99"/>
    <w:lsdException w:name="Title" w:uiPriority="99" w:qFormat="1"/>
    <w:lsdException w:name="Default Paragraph Font" w:uiPriority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semiHidden/>
    <w:rsid w:val="009A5CE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A5CE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A5CE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A5CE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A5CE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A5CE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A5CE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A5CE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A5CE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A5CE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9A5CE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link w:val="JuHIRomanChar1"/>
    <w:uiPriority w:val="19"/>
    <w:qFormat/>
    <w:rsid w:val="009A5CE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9A5CE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A5CE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A5CE4"/>
    <w:pPr>
      <w:ind w:firstLine="284"/>
    </w:pPr>
  </w:style>
  <w:style w:type="character" w:customStyle="1" w:styleId="ECHRParaChar">
    <w:name w:val="ECHR_Para Char"/>
    <w:aliases w:val="Ju_Para Char"/>
    <w:link w:val="ECHRPara"/>
    <w:uiPriority w:val="12"/>
    <w:rsid w:val="00203660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516EE4"/>
    <w:rPr>
      <w:rFonts w:asciiTheme="majorHAnsi" w:eastAsiaTheme="minorEastAsia" w:hAnsiTheme="majorHAnsi"/>
      <w:sz w:val="28"/>
    </w:rPr>
  </w:style>
  <w:style w:type="character" w:customStyle="1" w:styleId="JuHIRomanChar1">
    <w:name w:val="Ju_H_I_Roman Char1"/>
    <w:link w:val="ECHRHeading1"/>
    <w:uiPriority w:val="19"/>
    <w:rsid w:val="00203660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A5CE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Signed">
    <w:name w:val="Ju_Signed"/>
    <w:basedOn w:val="Normal"/>
    <w:next w:val="JuParaLast"/>
    <w:uiPriority w:val="32"/>
    <w:qFormat/>
    <w:rsid w:val="009A5CE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9A5CE4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9A5CE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A5CE4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A5CE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A5CE4"/>
    <w:rPr>
      <w:rFonts w:asciiTheme="majorHAnsi" w:eastAsiaTheme="majorEastAsia" w:hAnsiTheme="majorHAnsi" w:cstheme="majorBidi"/>
      <w:i/>
      <w:iCs/>
      <w:lang w:bidi="en-US"/>
    </w:rPr>
  </w:style>
  <w:style w:type="paragraph" w:styleId="Footer">
    <w:name w:val="footer"/>
    <w:basedOn w:val="Normal"/>
    <w:link w:val="FooterChar"/>
    <w:uiPriority w:val="57"/>
    <w:semiHidden/>
    <w:rsid w:val="009A5CE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9A5CE4"/>
    <w:pPr>
      <w:tabs>
        <w:tab w:val="left" w:pos="567"/>
        <w:tab w:val="left" w:pos="1134"/>
      </w:tabs>
      <w:jc w:val="left"/>
    </w:pPr>
  </w:style>
  <w:style w:type="character" w:customStyle="1" w:styleId="JuJudgesChar">
    <w:name w:val="Ju_Judges Char"/>
    <w:link w:val="ECHRDecisionBody"/>
    <w:uiPriority w:val="11"/>
    <w:rsid w:val="00BF50A3"/>
    <w:rPr>
      <w:rFonts w:eastAsiaTheme="minorEastAsia"/>
      <w:sz w:val="24"/>
    </w:rPr>
  </w:style>
  <w:style w:type="character" w:styleId="Strong">
    <w:name w:val="Strong"/>
    <w:uiPriority w:val="99"/>
    <w:semiHidden/>
    <w:qFormat/>
    <w:rsid w:val="009A5CE4"/>
    <w:rPr>
      <w:b/>
      <w:bCs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A5CE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9A5CE4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link w:val="ECHRParaQuote"/>
    <w:uiPriority w:val="14"/>
    <w:rsid w:val="00905239"/>
    <w:rPr>
      <w:rFonts w:eastAsiaTheme="minorEastAsia"/>
      <w:sz w:val="20"/>
    </w:rPr>
  </w:style>
  <w:style w:type="paragraph" w:customStyle="1" w:styleId="JuCase">
    <w:name w:val="Ju_Case"/>
    <w:basedOn w:val="Normal"/>
    <w:next w:val="ECHRPara"/>
    <w:uiPriority w:val="10"/>
    <w:rsid w:val="009A5CE4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9A5CE4"/>
    <w:pPr>
      <w:ind w:left="340" w:hanging="340"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9A5CE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A5CE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A5CE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E4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A5CE4"/>
    <w:rPr>
      <w:i/>
      <w:iCs/>
      <w:smallCaps/>
      <w:spacing w:val="5"/>
    </w:rPr>
  </w:style>
  <w:style w:type="paragraph" w:styleId="NoSpacing">
    <w:name w:val="No Spacing"/>
    <w:basedOn w:val="Normal"/>
    <w:link w:val="NoSpacingChar"/>
    <w:semiHidden/>
    <w:qFormat/>
    <w:rsid w:val="009A5CE4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9A5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5CE4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semiHidden/>
    <w:rsid w:val="009A5CE4"/>
    <w:rPr>
      <w:rFonts w:eastAsiaTheme="minorEastAsia"/>
    </w:rPr>
  </w:style>
  <w:style w:type="paragraph" w:styleId="Header">
    <w:name w:val="header"/>
    <w:basedOn w:val="Normal"/>
    <w:link w:val="HeaderChar"/>
    <w:uiPriority w:val="57"/>
    <w:semiHidden/>
    <w:rsid w:val="009A5CE4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08750A"/>
    <w:rPr>
      <w:rFonts w:ascii="Times New Roman" w:hAnsi="Times New Roman" w:cs="Times New Roman"/>
      <w:sz w:val="18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A5CE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A5CE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9A5CE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A5CE4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A5CE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A5CE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9A5CE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A5CE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Header">
    <w:name w:val="ECHR_Header"/>
    <w:aliases w:val="Ju_Header"/>
    <w:basedOn w:val="Header"/>
    <w:uiPriority w:val="4"/>
    <w:qFormat/>
    <w:rsid w:val="009A5CE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character" w:styleId="SubtleEmphasis">
    <w:name w:val="Subtle Emphasis"/>
    <w:uiPriority w:val="99"/>
    <w:semiHidden/>
    <w:qFormat/>
    <w:rsid w:val="009A5CE4"/>
    <w:rPr>
      <w:i/>
      <w:iCs/>
    </w:rPr>
  </w:style>
  <w:style w:type="character" w:styleId="Emphasis">
    <w:name w:val="Emphasis"/>
    <w:uiPriority w:val="99"/>
    <w:semiHidden/>
    <w:qFormat/>
    <w:rsid w:val="009A5CE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A5CE4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CE4"/>
    <w:rPr>
      <w:rFonts w:eastAsiaTheme="minorEastAsia"/>
      <w:sz w:val="20"/>
      <w:szCs w:val="20"/>
    </w:rPr>
  </w:style>
  <w:style w:type="character" w:styleId="IntenseEmphasis">
    <w:name w:val="Intense Emphasis"/>
    <w:uiPriority w:val="99"/>
    <w:semiHidden/>
    <w:qFormat/>
    <w:rsid w:val="009A5CE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A5CE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A5CE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A5CE4"/>
    <w:rPr>
      <w:smallCaps/>
      <w:spacing w:val="5"/>
      <w:u w:val="single"/>
    </w:rPr>
  </w:style>
  <w:style w:type="paragraph" w:customStyle="1" w:styleId="JuAppQuestion">
    <w:name w:val="Ju_App_Question"/>
    <w:basedOn w:val="Normal"/>
    <w:uiPriority w:val="5"/>
    <w:rsid w:val="009A5CE4"/>
    <w:pPr>
      <w:numPr>
        <w:numId w:val="14"/>
      </w:num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A5C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142D"/>
    <w:rPr>
      <w:b/>
      <w:bCs/>
    </w:rPr>
  </w:style>
  <w:style w:type="character" w:styleId="EndnoteReference">
    <w:name w:val="endnote reference"/>
    <w:semiHidden/>
    <w:rsid w:val="0008750A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8750A"/>
    <w:rPr>
      <w:sz w:val="20"/>
    </w:rPr>
  </w:style>
  <w:style w:type="character" w:styleId="FollowedHyperlink">
    <w:name w:val="FollowedHyperlink"/>
    <w:semiHidden/>
    <w:rsid w:val="0008750A"/>
    <w:rPr>
      <w:rFonts w:ascii="Times New Roman" w:hAnsi="Times New Roman" w:cs="Times New Roman"/>
      <w:color w:val="800080"/>
      <w:u w:val="single"/>
    </w:rPr>
  </w:style>
  <w:style w:type="paragraph" w:customStyle="1" w:styleId="OpiPara">
    <w:name w:val="Opi_Para"/>
    <w:basedOn w:val="ECHRPara"/>
    <w:uiPriority w:val="46"/>
    <w:qFormat/>
    <w:rsid w:val="009A5CE4"/>
  </w:style>
  <w:style w:type="paragraph" w:customStyle="1" w:styleId="JuParaSub">
    <w:name w:val="Ju_Para_Sub"/>
    <w:basedOn w:val="ECHRPara"/>
    <w:uiPriority w:val="13"/>
    <w:qFormat/>
    <w:rsid w:val="009A5CE4"/>
    <w:pPr>
      <w:ind w:left="284"/>
    </w:pPr>
  </w:style>
  <w:style w:type="paragraph" w:styleId="DocumentMap">
    <w:name w:val="Document Map"/>
    <w:basedOn w:val="Normal"/>
    <w:semiHidden/>
    <w:rsid w:val="002F6423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uiPriority w:val="47"/>
    <w:qFormat/>
    <w:rsid w:val="009A5CE4"/>
  </w:style>
  <w:style w:type="paragraph" w:customStyle="1" w:styleId="OpiQuot">
    <w:name w:val="Opi_Quot"/>
    <w:basedOn w:val="ECHRParaQuote"/>
    <w:uiPriority w:val="48"/>
    <w:qFormat/>
    <w:rsid w:val="009A5CE4"/>
  </w:style>
  <w:style w:type="paragraph" w:styleId="ListBullet">
    <w:name w:val="List Bullet"/>
    <w:basedOn w:val="Normal"/>
    <w:semiHidden/>
    <w:rsid w:val="0055679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rsid w:val="009A5CE4"/>
    <w:rPr>
      <w:color w:val="0072BC" w:themeColor="hyperlink"/>
      <w:u w:val="single"/>
    </w:rPr>
  </w:style>
  <w:style w:type="paragraph" w:customStyle="1" w:styleId="OpiQuotSub">
    <w:name w:val="Opi_Quot_Sub"/>
    <w:basedOn w:val="JuQuotSub"/>
    <w:uiPriority w:val="49"/>
    <w:qFormat/>
    <w:rsid w:val="009A5CE4"/>
  </w:style>
  <w:style w:type="paragraph" w:styleId="ListParagraph">
    <w:name w:val="List Paragraph"/>
    <w:basedOn w:val="Normal"/>
    <w:uiPriority w:val="99"/>
    <w:semiHidden/>
    <w:qFormat/>
    <w:rsid w:val="009A5C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9A5CE4"/>
    <w:pPr>
      <w:spacing w:before="200"/>
      <w:ind w:left="360" w:right="360"/>
    </w:pPr>
    <w:rPr>
      <w:i/>
      <w:iCs/>
      <w:sz w:val="22"/>
      <w:lang w:bidi="en-US"/>
    </w:rPr>
  </w:style>
  <w:style w:type="table" w:styleId="TableGrid">
    <w:name w:val="Table Grid"/>
    <w:basedOn w:val="TableNormal"/>
    <w:uiPriority w:val="59"/>
    <w:semiHidden/>
    <w:rsid w:val="009A5CE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Char">
    <w:name w:val="Quote Char"/>
    <w:basedOn w:val="DefaultParagraphFont"/>
    <w:link w:val="Quote"/>
    <w:uiPriority w:val="99"/>
    <w:semiHidden/>
    <w:rsid w:val="009A5CE4"/>
    <w:rPr>
      <w:rFonts w:eastAsiaTheme="minorEastAsia"/>
      <w:i/>
      <w:iCs/>
      <w:lang w:bidi="en-US"/>
    </w:rPr>
  </w:style>
  <w:style w:type="paragraph" w:customStyle="1" w:styleId="JuTitle">
    <w:name w:val="Ju_Title"/>
    <w:basedOn w:val="Normal"/>
    <w:next w:val="ECHRPara"/>
    <w:uiPriority w:val="3"/>
    <w:rsid w:val="009A5CE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SubtleReference">
    <w:name w:val="Subtle Reference"/>
    <w:uiPriority w:val="99"/>
    <w:semiHidden/>
    <w:qFormat/>
    <w:rsid w:val="009A5CE4"/>
    <w:rPr>
      <w:smallCaps/>
    </w:rPr>
  </w:style>
  <w:style w:type="paragraph" w:styleId="Revision">
    <w:name w:val="Revision"/>
    <w:hidden/>
    <w:uiPriority w:val="99"/>
    <w:semiHidden/>
    <w:rsid w:val="00FD35D1"/>
    <w:rPr>
      <w:sz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A5CE4"/>
    <w:rPr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9A5CE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9A5CE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9A5CE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9A5CE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9A5CE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9A5CE4"/>
    <w:pPr>
      <w:outlineLvl w:val="9"/>
    </w:pPr>
    <w:rPr>
      <w:color w:val="474747" w:themeColor="accent3" w:themeShade="BF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A5CE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9A5CE4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QuotSub">
    <w:name w:val="Ju_Quot_Sub"/>
    <w:basedOn w:val="ECHRParaQuote"/>
    <w:uiPriority w:val="15"/>
    <w:qFormat/>
    <w:rsid w:val="009A5CE4"/>
    <w:pPr>
      <w:ind w:left="567"/>
    </w:p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A5CE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9A5CE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A5CE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9A5CE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9A5CE4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qFormat/>
    <w:rsid w:val="009A5CE4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9A5CE4"/>
  </w:style>
  <w:style w:type="paragraph" w:customStyle="1" w:styleId="JuCourt">
    <w:name w:val="Ju_Court"/>
    <w:basedOn w:val="Normal"/>
    <w:next w:val="Normal"/>
    <w:uiPriority w:val="16"/>
    <w:qFormat/>
    <w:rsid w:val="009A5CE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TOAHeading">
    <w:name w:val="toa heading"/>
    <w:basedOn w:val="Normal"/>
    <w:next w:val="Normal"/>
    <w:uiPriority w:val="99"/>
    <w:semiHidden/>
    <w:rsid w:val="009A5CE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DecList">
    <w:name w:val="Dec_List"/>
    <w:basedOn w:val="Normal"/>
    <w:uiPriority w:val="9"/>
    <w:rsid w:val="009A5CE4"/>
    <w:pPr>
      <w:spacing w:before="240"/>
      <w:ind w:left="284"/>
    </w:p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A5CE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A5CE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A5CE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A5CE4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9A5CE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A5CE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A5CE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9A5CE4"/>
    <w:rPr>
      <w:color w:val="00B050"/>
    </w:rPr>
  </w:style>
  <w:style w:type="table" w:customStyle="1" w:styleId="ECHRListTable">
    <w:name w:val="ECHR_List_Table"/>
    <w:basedOn w:val="TableNormal"/>
    <w:uiPriority w:val="99"/>
    <w:rsid w:val="009A5CE4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semiHidden/>
    <w:rsid w:val="009A5CE4"/>
    <w:pPr>
      <w:numPr>
        <w:numId w:val="15"/>
      </w:numPr>
    </w:pPr>
  </w:style>
  <w:style w:type="numbering" w:styleId="1ai">
    <w:name w:val="Outline List 1"/>
    <w:basedOn w:val="NoList"/>
    <w:semiHidden/>
    <w:rsid w:val="009A5CE4"/>
    <w:pPr>
      <w:numPr>
        <w:numId w:val="16"/>
      </w:numPr>
    </w:pPr>
  </w:style>
  <w:style w:type="numbering" w:styleId="ArticleSection">
    <w:name w:val="Outline List 3"/>
    <w:basedOn w:val="NoList"/>
    <w:semiHidden/>
    <w:rsid w:val="009A5CE4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A5CE4"/>
  </w:style>
  <w:style w:type="paragraph" w:styleId="BlockText">
    <w:name w:val="Block Text"/>
    <w:basedOn w:val="Normal"/>
    <w:semiHidden/>
    <w:rsid w:val="009A5CE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semiHidden/>
    <w:rsid w:val="009A5C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5CE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semiHidden/>
    <w:rsid w:val="009A5C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5CE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semiHidden/>
    <w:rsid w:val="009A5C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5CE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A5CE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A5CE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semiHidden/>
    <w:rsid w:val="009A5C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A5CE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9A5C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A5CE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9A5C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A5CE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semiHidden/>
    <w:rsid w:val="009A5C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5CE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9A5CE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9A5CE4"/>
    <w:pPr>
      <w:ind w:left="4252"/>
    </w:pPr>
  </w:style>
  <w:style w:type="character" w:customStyle="1" w:styleId="ClosingChar">
    <w:name w:val="Closing Char"/>
    <w:basedOn w:val="DefaultParagraphFont"/>
    <w:link w:val="Closing"/>
    <w:rsid w:val="009A5CE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A5CE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9A5CE4"/>
  </w:style>
  <w:style w:type="character" w:customStyle="1" w:styleId="DateChar">
    <w:name w:val="Date Char"/>
    <w:basedOn w:val="DefaultParagraphFont"/>
    <w:link w:val="Date"/>
    <w:rsid w:val="009A5CE4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semiHidden/>
    <w:rsid w:val="009A5CE4"/>
  </w:style>
  <w:style w:type="character" w:customStyle="1" w:styleId="E-mailSignatureChar">
    <w:name w:val="E-mail Signature Char"/>
    <w:basedOn w:val="DefaultParagraphFont"/>
    <w:link w:val="E-mailSignature"/>
    <w:rsid w:val="009A5CE4"/>
    <w:rPr>
      <w:rFonts w:eastAsiaTheme="minorEastAsia"/>
      <w:sz w:val="24"/>
    </w:rPr>
  </w:style>
  <w:style w:type="paragraph" w:styleId="EnvelopeAddress">
    <w:name w:val="envelope address"/>
    <w:basedOn w:val="Normal"/>
    <w:semiHidden/>
    <w:rsid w:val="009A5C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9A5CE4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semiHidden/>
    <w:rsid w:val="009A5CE4"/>
  </w:style>
  <w:style w:type="paragraph" w:styleId="HTMLAddress">
    <w:name w:val="HTML Address"/>
    <w:basedOn w:val="Normal"/>
    <w:link w:val="HTMLAddressChar"/>
    <w:semiHidden/>
    <w:rsid w:val="009A5CE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A5CE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semiHidden/>
    <w:rsid w:val="009A5CE4"/>
    <w:rPr>
      <w:i/>
      <w:iCs/>
    </w:rPr>
  </w:style>
  <w:style w:type="character" w:styleId="HTMLCode">
    <w:name w:val="HTML Code"/>
    <w:basedOn w:val="DefaultParagraphFont"/>
    <w:semiHidden/>
    <w:rsid w:val="009A5CE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9A5CE4"/>
    <w:rPr>
      <w:i/>
      <w:iCs/>
    </w:rPr>
  </w:style>
  <w:style w:type="character" w:styleId="HTMLKeyboard">
    <w:name w:val="HTML Keyboard"/>
    <w:basedOn w:val="DefaultParagraphFont"/>
    <w:semiHidden/>
    <w:rsid w:val="009A5CE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A5C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5CE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9A5CE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9A5CE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9A5CE4"/>
    <w:rPr>
      <w:i/>
      <w:iCs/>
    </w:rPr>
  </w:style>
  <w:style w:type="paragraph" w:styleId="Index1">
    <w:name w:val="index 1"/>
    <w:basedOn w:val="Normal"/>
    <w:next w:val="Normal"/>
    <w:autoRedefine/>
    <w:semiHidden/>
    <w:rsid w:val="009A5CE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A5CE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A5CE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A5CE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A5CE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A5CE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A5CE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A5CE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A5CE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A5CE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A5CE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A5CE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A5C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A5CE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A5CE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A5CE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A5CE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A5CE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A5CE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9A5CE4"/>
  </w:style>
  <w:style w:type="paragraph" w:styleId="List">
    <w:name w:val="List"/>
    <w:basedOn w:val="Normal"/>
    <w:semiHidden/>
    <w:rsid w:val="009A5CE4"/>
    <w:pPr>
      <w:ind w:left="283" w:hanging="283"/>
      <w:contextualSpacing/>
    </w:pPr>
  </w:style>
  <w:style w:type="paragraph" w:styleId="List2">
    <w:name w:val="List 2"/>
    <w:basedOn w:val="Normal"/>
    <w:semiHidden/>
    <w:rsid w:val="009A5CE4"/>
    <w:pPr>
      <w:ind w:left="566" w:hanging="283"/>
      <w:contextualSpacing/>
    </w:pPr>
  </w:style>
  <w:style w:type="paragraph" w:styleId="List3">
    <w:name w:val="List 3"/>
    <w:basedOn w:val="Normal"/>
    <w:semiHidden/>
    <w:rsid w:val="009A5CE4"/>
    <w:pPr>
      <w:ind w:left="849" w:hanging="283"/>
      <w:contextualSpacing/>
    </w:pPr>
  </w:style>
  <w:style w:type="paragraph" w:styleId="List4">
    <w:name w:val="List 4"/>
    <w:basedOn w:val="Normal"/>
    <w:semiHidden/>
    <w:rsid w:val="009A5CE4"/>
    <w:pPr>
      <w:ind w:left="1132" w:hanging="283"/>
      <w:contextualSpacing/>
    </w:pPr>
  </w:style>
  <w:style w:type="paragraph" w:styleId="List5">
    <w:name w:val="List 5"/>
    <w:basedOn w:val="Normal"/>
    <w:semiHidden/>
    <w:rsid w:val="009A5CE4"/>
    <w:pPr>
      <w:ind w:left="1415" w:hanging="283"/>
      <w:contextualSpacing/>
    </w:pPr>
  </w:style>
  <w:style w:type="paragraph" w:styleId="ListBullet2">
    <w:name w:val="List Bullet 2"/>
    <w:basedOn w:val="Normal"/>
    <w:semiHidden/>
    <w:rsid w:val="009A5CE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9A5CE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9A5CE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9A5CE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9A5CE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A5CE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A5CE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A5CE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A5CE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9A5CE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9A5CE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9A5CE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9A5CE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9A5CE4"/>
    <w:pPr>
      <w:numPr>
        <w:numId w:val="10"/>
      </w:numPr>
      <w:contextualSpacing/>
    </w:pPr>
  </w:style>
  <w:style w:type="paragraph" w:styleId="MacroText">
    <w:name w:val="macro"/>
    <w:link w:val="MacroTextChar"/>
    <w:semiHidden/>
    <w:rsid w:val="009A5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9A5CE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A5CE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A5CE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A5C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A5C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A5CE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A5C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9A5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A5C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9A5CE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rsid w:val="009A5CE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A5CE4"/>
  </w:style>
  <w:style w:type="character" w:customStyle="1" w:styleId="NoteHeadingChar">
    <w:name w:val="Note Heading Char"/>
    <w:basedOn w:val="DefaultParagraphFont"/>
    <w:link w:val="NoteHeading"/>
    <w:rsid w:val="009A5CE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A5CE4"/>
    <w:rPr>
      <w:color w:val="808080"/>
    </w:rPr>
  </w:style>
  <w:style w:type="paragraph" w:styleId="PlainText">
    <w:name w:val="Plain Text"/>
    <w:basedOn w:val="Normal"/>
    <w:link w:val="PlainTextChar"/>
    <w:semiHidden/>
    <w:rsid w:val="009A5C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A5CE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9A5CE4"/>
  </w:style>
  <w:style w:type="character" w:customStyle="1" w:styleId="SalutationChar">
    <w:name w:val="Salutation Char"/>
    <w:basedOn w:val="DefaultParagraphFont"/>
    <w:link w:val="Salutation"/>
    <w:rsid w:val="009A5CE4"/>
    <w:rPr>
      <w:rFonts w:eastAsiaTheme="minorEastAsia"/>
      <w:sz w:val="24"/>
    </w:rPr>
  </w:style>
  <w:style w:type="paragraph" w:styleId="Signature">
    <w:name w:val="Signature"/>
    <w:basedOn w:val="Normal"/>
    <w:link w:val="SignatureChar"/>
    <w:semiHidden/>
    <w:rsid w:val="009A5CE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A5CE4"/>
    <w:rPr>
      <w:rFonts w:eastAsiaTheme="minorEastAsia"/>
      <w:sz w:val="24"/>
    </w:rPr>
  </w:style>
  <w:style w:type="table" w:styleId="Table3Deffects1">
    <w:name w:val="Table 3D effects 1"/>
    <w:basedOn w:val="TableNormal"/>
    <w:semiHidden/>
    <w:rsid w:val="009A5CE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5CE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5CE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5CE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5CE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5CE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5CE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5CE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5CE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5CE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5CE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5CE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5CE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5CE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5CE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5CE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5CE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5CE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5CE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9A5CE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A5CE4"/>
  </w:style>
  <w:style w:type="table" w:styleId="TableProfessional">
    <w:name w:val="Table Professional"/>
    <w:basedOn w:val="TableNormal"/>
    <w:semiHidden/>
    <w:rsid w:val="009A5CE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5CE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5CE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5CE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5CE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5C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A5CE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5CE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5CE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semiHidden/>
    <w:rsid w:val="009A5CE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9A5CE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9A5CE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9A5CE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09ECC-DF57-4361-8D7B-175E87DB5993}"/>
</file>

<file path=customXml/itemProps2.xml><?xml version="1.0" encoding="utf-8"?>
<ds:datastoreItem xmlns:ds="http://schemas.openxmlformats.org/officeDocument/2006/customXml" ds:itemID="{AAF8EFB3-B508-4C0A-9AE4-0F13FC56D637}"/>
</file>

<file path=customXml/itemProps3.xml><?xml version="1.0" encoding="utf-8"?>
<ds:datastoreItem xmlns:ds="http://schemas.openxmlformats.org/officeDocument/2006/customXml" ds:itemID="{8F96A127-C05C-4C92-ACD1-0D80D2F1BA17}"/>
</file>

<file path=customXml/itemProps4.xml><?xml version="1.0" encoding="utf-8"?>
<ds:datastoreItem xmlns:ds="http://schemas.openxmlformats.org/officeDocument/2006/customXml" ds:itemID="{F7A86CC1-45AD-456B-A5AF-2E75227C5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keywords/>
  <cp:lastModifiedBy/>
  <cp:revision>2</cp:revision>
  <cp:lastPrinted>2014-10-03T08:49:00Z</cp:lastPrinted>
  <dcterms:created xsi:type="dcterms:W3CDTF">2014-12-04T09:05:00Z</dcterms:created>
  <dcterms:modified xsi:type="dcterms:W3CDTF">2014-12-04T09:05:00Z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17760/03</vt:lpwstr>
  </property>
  <property fmtid="{D5CDD505-2E9C-101B-9397-08002B2CF9AE}" pid="4" name="CASEID">
    <vt:lpwstr>263010</vt:lpwstr>
  </property>
  <property fmtid="{D5CDD505-2E9C-101B-9397-08002B2CF9AE}" pid="5" name="OrigTemp">
    <vt:lpwstr>French\Documents\DF02 Arrets et Projets\DF2.1b PA examen conjoint (durée procédure).dot</vt:lpwstr>
  </property>
</Properties>
</file>